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CF353">
      <w:pPr>
        <w:ind w:left="0" w:leftChars="0" w:firstLine="0" w:firstLineChars="0"/>
        <w:rPr>
          <w:rFonts w:hint="eastAsia" w:ascii="Times New Roman" w:hAnsi="Times New Roman" w:eastAsia="黑体" w:cs="黑体"/>
          <w:color w:val="auto"/>
          <w:sz w:val="32"/>
          <w:lang w:val="en-US" w:eastAsia="zh-CN"/>
        </w:rPr>
      </w:pPr>
      <w:bookmarkStart w:id="0" w:name="_GoBack"/>
      <w:bookmarkEnd w:id="0"/>
      <w:r>
        <w:rPr>
          <w:rFonts w:hint="eastAsia" w:ascii="Times New Roman" w:hAnsi="Times New Roman" w:eastAsia="黑体" w:cs="黑体"/>
          <w:color w:val="auto"/>
          <w:sz w:val="32"/>
          <w:lang w:val="en-US" w:eastAsia="zh-CN"/>
        </w:rPr>
        <w:t>附件1</w:t>
      </w:r>
    </w:p>
    <w:p w14:paraId="1ACFA1AA">
      <w:pPr>
        <w:ind w:left="0" w:leftChars="0" w:firstLine="0" w:firstLineChars="0"/>
        <w:rPr>
          <w:rFonts w:hint="eastAsia" w:ascii="Times New Roman" w:hAnsi="Times New Roman" w:eastAsia="黑体" w:cs="黑体"/>
          <w:color w:val="auto"/>
          <w:sz w:val="32"/>
          <w:lang w:val="en-US" w:eastAsia="zh-CN"/>
        </w:rPr>
      </w:pPr>
    </w:p>
    <w:p w14:paraId="0C1E3255">
      <w:pPr>
        <w:pStyle w:val="8"/>
        <w:keepNext w:val="0"/>
        <w:keepLines w:val="0"/>
        <w:pageBreakBefore w:val="0"/>
        <w:widowControl w:val="0"/>
        <w:kinsoku/>
        <w:wordWrap/>
        <w:overflowPunct/>
        <w:topLinePunct w:val="0"/>
        <w:autoSpaceDE/>
        <w:autoSpaceDN/>
        <w:bidi w:val="0"/>
        <w:adjustRightInd/>
        <w:snapToGrid/>
        <w:spacing w:before="0" w:after="0" w:line="640" w:lineRule="exact"/>
        <w:textAlignment w:val="auto"/>
        <w:rPr>
          <w:b w:val="0"/>
          <w:bCs w:val="0"/>
          <w:color w:val="auto"/>
        </w:rPr>
      </w:pPr>
      <w:r>
        <w:rPr>
          <w:rFonts w:hint="eastAsia"/>
          <w:b w:val="0"/>
          <w:bCs w:val="0"/>
          <w:color w:val="auto"/>
        </w:rPr>
        <w:t>自然资源部关于规范矿业权管理</w:t>
      </w:r>
    </w:p>
    <w:p w14:paraId="51F383FB">
      <w:pPr>
        <w:pStyle w:val="8"/>
        <w:keepNext w:val="0"/>
        <w:keepLines w:val="0"/>
        <w:pageBreakBefore w:val="0"/>
        <w:widowControl w:val="0"/>
        <w:kinsoku/>
        <w:wordWrap/>
        <w:overflowPunct/>
        <w:topLinePunct w:val="0"/>
        <w:autoSpaceDE/>
        <w:autoSpaceDN/>
        <w:bidi w:val="0"/>
        <w:adjustRightInd/>
        <w:snapToGrid/>
        <w:spacing w:before="0" w:after="0" w:line="640" w:lineRule="exact"/>
        <w:textAlignment w:val="auto"/>
        <w:rPr>
          <w:b w:val="0"/>
          <w:bCs w:val="0"/>
          <w:color w:val="auto"/>
        </w:rPr>
      </w:pPr>
      <w:r>
        <w:rPr>
          <w:rFonts w:hint="eastAsia"/>
          <w:b w:val="0"/>
          <w:bCs w:val="0"/>
          <w:color w:val="auto"/>
        </w:rPr>
        <w:t>有关事项的通知</w:t>
      </w:r>
    </w:p>
    <w:p w14:paraId="58883E17">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color w:val="auto"/>
        </w:rPr>
      </w:pPr>
      <w:r>
        <w:rPr>
          <w:rFonts w:hint="eastAsia"/>
          <w:color w:val="auto"/>
        </w:rPr>
        <w:t>（</w:t>
      </w:r>
      <w:r>
        <w:rPr>
          <w:rFonts w:hint="eastAsia" w:ascii="楷体_GB2312" w:hAnsi="楷体_GB2312" w:eastAsia="楷体_GB2312" w:cs="楷体_GB2312"/>
          <w:color w:val="auto"/>
          <w:lang w:eastAsia="zh-CN"/>
        </w:rPr>
        <w:t>征求意见</w:t>
      </w:r>
      <w:r>
        <w:rPr>
          <w:rFonts w:hint="eastAsia" w:ascii="楷体_GB2312" w:hAnsi="楷体_GB2312" w:eastAsia="楷体_GB2312" w:cs="楷体_GB2312"/>
          <w:color w:val="auto"/>
        </w:rPr>
        <w:t>稿</w:t>
      </w:r>
      <w:r>
        <w:rPr>
          <w:rFonts w:hint="eastAsia"/>
          <w:color w:val="auto"/>
        </w:rPr>
        <w:t>）</w:t>
      </w:r>
    </w:p>
    <w:p w14:paraId="22F5CD45">
      <w:pPr>
        <w:keepNext w:val="0"/>
        <w:keepLines w:val="0"/>
        <w:pageBreakBefore w:val="0"/>
        <w:widowControl w:val="0"/>
        <w:kinsoku/>
        <w:overflowPunct/>
        <w:topLinePunct w:val="0"/>
        <w:autoSpaceDE/>
        <w:autoSpaceDN/>
        <w:bidi w:val="0"/>
        <w:adjustRightInd/>
        <w:snapToGrid/>
        <w:spacing w:line="580" w:lineRule="exact"/>
        <w:ind w:left="0" w:right="0" w:firstLine="0" w:firstLineChars="0"/>
        <w:textAlignment w:val="auto"/>
        <w:rPr>
          <w:rFonts w:hint="eastAsia"/>
          <w:color w:val="auto"/>
        </w:rPr>
      </w:pPr>
    </w:p>
    <w:p w14:paraId="2AD23545">
      <w:pPr>
        <w:keepNext w:val="0"/>
        <w:keepLines w:val="0"/>
        <w:pageBreakBefore w:val="0"/>
        <w:widowControl w:val="0"/>
        <w:kinsoku/>
        <w:overflowPunct/>
        <w:topLinePunct w:val="0"/>
        <w:autoSpaceDE/>
        <w:autoSpaceDN/>
        <w:bidi w:val="0"/>
        <w:adjustRightInd/>
        <w:snapToGrid/>
        <w:spacing w:line="580" w:lineRule="exact"/>
        <w:ind w:left="0" w:right="0" w:firstLine="0" w:firstLineChars="0"/>
        <w:textAlignment w:val="auto"/>
        <w:rPr>
          <w:color w:val="auto"/>
        </w:rPr>
      </w:pPr>
      <w:r>
        <w:rPr>
          <w:rFonts w:hint="eastAsia"/>
          <w:color w:val="auto"/>
        </w:rPr>
        <w:t>各省、自治区、直辖市自然资源主管部门，新疆生产建设兵团自然资源局：</w:t>
      </w:r>
    </w:p>
    <w:p w14:paraId="11F0607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为贯彻落实《矿产资源法》《矿产资源法实施条例》，维护矿产资源国家所有者权益和矿业权人合法权益，促进矿产资源合理开发利用，提高矿产资源保障能力，现就规范矿业权管理有关事项通知如下。</w:t>
      </w:r>
    </w:p>
    <w:p w14:paraId="6C2BE752">
      <w:pPr>
        <w:spacing w:line="580" w:lineRule="exact"/>
        <w:rPr>
          <w:rFonts w:hint="eastAsia" w:ascii="黑体" w:hAnsi="黑体" w:eastAsia="黑体" w:cs="黑体"/>
          <w:color w:val="auto"/>
          <w:lang w:val="en" w:eastAsia="zh-CN"/>
        </w:rPr>
      </w:pPr>
      <w:r>
        <w:rPr>
          <w:rFonts w:hint="eastAsia" w:ascii="黑体" w:hAnsi="黑体" w:eastAsia="黑体" w:cs="黑体"/>
          <w:color w:val="auto"/>
          <w:lang w:eastAsia="zh-CN"/>
        </w:rPr>
        <w:t>一、</w:t>
      </w:r>
      <w:r>
        <w:rPr>
          <w:rFonts w:hint="eastAsia" w:ascii="黑体" w:hAnsi="黑体" w:eastAsia="黑体" w:cs="黑体"/>
          <w:color w:val="auto"/>
        </w:rPr>
        <w:t>矿业权出让</w:t>
      </w:r>
      <w:r>
        <w:rPr>
          <w:rFonts w:hint="eastAsia" w:ascii="黑体" w:hAnsi="黑体" w:eastAsia="黑体" w:cs="黑体"/>
          <w:color w:val="auto"/>
          <w:lang w:eastAsia="zh-CN"/>
        </w:rPr>
        <w:t>管理</w:t>
      </w:r>
    </w:p>
    <w:p w14:paraId="79A910F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lang w:eastAsia="zh-CN"/>
        </w:rPr>
      </w:pPr>
      <w:r>
        <w:rPr>
          <w:rFonts w:hint="eastAsia"/>
          <w:color w:val="auto"/>
          <w:lang w:eastAsia="zh-CN"/>
        </w:rPr>
        <w:t>（</w:t>
      </w:r>
      <w:r>
        <w:rPr>
          <w:rFonts w:hint="eastAsia"/>
          <w:strike w:val="0"/>
          <w:dstrike w:val="0"/>
          <w:color w:val="auto"/>
          <w:lang w:eastAsia="zh-CN"/>
        </w:rPr>
        <w:t>一</w:t>
      </w:r>
      <w:r>
        <w:rPr>
          <w:rFonts w:hint="eastAsia"/>
          <w:color w:val="auto"/>
          <w:lang w:eastAsia="zh-CN"/>
        </w:rPr>
        <w:t>）</w:t>
      </w:r>
      <w:r>
        <w:rPr>
          <w:rFonts w:hint="eastAsia"/>
          <w:color w:val="auto"/>
        </w:rPr>
        <w:t>【出让计划</w:t>
      </w:r>
      <w:r>
        <w:rPr>
          <w:rFonts w:hint="eastAsia"/>
          <w:color w:val="auto"/>
          <w:lang w:eastAsia="zh-CN"/>
        </w:rPr>
        <w:t>制定和实施</w:t>
      </w:r>
      <w:r>
        <w:rPr>
          <w:rFonts w:hint="eastAsia"/>
          <w:color w:val="auto"/>
        </w:rPr>
        <w:t>】</w:t>
      </w:r>
      <w:r>
        <w:rPr>
          <w:rFonts w:hint="eastAsia"/>
          <w:color w:val="auto"/>
          <w:lang w:eastAsia="zh-CN"/>
        </w:rPr>
        <w:t>自然资源部和省级</w:t>
      </w:r>
      <w:r>
        <w:rPr>
          <w:rFonts w:hint="eastAsia"/>
          <w:color w:val="auto"/>
        </w:rPr>
        <w:t>自然资源主管部门</w:t>
      </w:r>
      <w:r>
        <w:rPr>
          <w:rFonts w:hint="eastAsia"/>
          <w:color w:val="auto"/>
          <w:lang w:eastAsia="zh-CN"/>
        </w:rPr>
        <w:t>应依据</w:t>
      </w:r>
      <w:r>
        <w:rPr>
          <w:rFonts w:hint="eastAsia"/>
          <w:color w:val="auto"/>
        </w:rPr>
        <w:t>矿产资源规划</w:t>
      </w:r>
      <w:r>
        <w:rPr>
          <w:rFonts w:hint="eastAsia"/>
          <w:color w:val="auto"/>
          <w:lang w:eastAsia="zh-CN"/>
        </w:rPr>
        <w:t>，结合</w:t>
      </w:r>
      <w:r>
        <w:rPr>
          <w:rFonts w:hint="eastAsia"/>
          <w:strike w:val="0"/>
          <w:dstrike w:val="0"/>
          <w:color w:val="auto"/>
        </w:rPr>
        <w:t>战略性矿产新增资源量需求</w:t>
      </w:r>
      <w:r>
        <w:rPr>
          <w:rFonts w:hint="eastAsia"/>
          <w:color w:val="auto"/>
          <w:lang w:eastAsia="zh-CN"/>
        </w:rPr>
        <w:t>以及矿产地储备部署等，</w:t>
      </w:r>
      <w:r>
        <w:rPr>
          <w:rFonts w:hint="eastAsia" w:cs="Times New Roman"/>
          <w:color w:val="auto"/>
          <w:sz w:val="32"/>
          <w:szCs w:val="32"/>
          <w:lang w:eastAsia="zh-CN"/>
        </w:rPr>
        <w:t>制定</w:t>
      </w:r>
      <w:r>
        <w:rPr>
          <w:rFonts w:hint="eastAsia"/>
          <w:color w:val="auto"/>
        </w:rPr>
        <w:t>战略性矿产</w:t>
      </w:r>
      <w:r>
        <w:rPr>
          <w:rFonts w:hint="eastAsia" w:cs="Times New Roman"/>
          <w:color w:val="auto"/>
          <w:sz w:val="32"/>
          <w:szCs w:val="32"/>
          <w:lang w:eastAsia="zh-CN"/>
        </w:rPr>
        <w:t>矿业权</w:t>
      </w:r>
      <w:r>
        <w:rPr>
          <w:rFonts w:hint="eastAsia" w:ascii="Times New Roman" w:hAnsi="Times New Roman" w:eastAsia="仿宋_GB2312" w:cs="Times New Roman"/>
          <w:color w:val="auto"/>
          <w:sz w:val="32"/>
          <w:szCs w:val="32"/>
          <w:lang w:eastAsia="zh-CN"/>
        </w:rPr>
        <w:t>年度出让计划</w:t>
      </w:r>
      <w:r>
        <w:rPr>
          <w:rFonts w:hint="eastAsia" w:cs="Times New Roman"/>
          <w:strike w:val="0"/>
          <w:dstrike w:val="0"/>
          <w:color w:val="auto"/>
          <w:sz w:val="32"/>
          <w:szCs w:val="32"/>
          <w:lang w:eastAsia="zh-CN"/>
        </w:rPr>
        <w:t>，按出让计划加快实施矿业权出让</w:t>
      </w:r>
      <w:r>
        <w:rPr>
          <w:rFonts w:hint="eastAsia"/>
          <w:color w:val="auto"/>
          <w:lang w:eastAsia="zh-CN"/>
        </w:rPr>
        <w:t>。协议出让周边零星分散资源、夹缝区域矿产资源矿业权的情形除外。</w:t>
      </w:r>
    </w:p>
    <w:p w14:paraId="2D34261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lang w:eastAsia="zh-CN"/>
        </w:rPr>
      </w:pPr>
      <w:r>
        <w:rPr>
          <w:rFonts w:hint="eastAsia"/>
          <w:color w:val="auto"/>
          <w:lang w:eastAsia="zh-CN"/>
        </w:rPr>
        <w:t>自然资源部</w:t>
      </w:r>
      <w:r>
        <w:rPr>
          <w:rFonts w:hint="default"/>
          <w:color w:val="auto"/>
          <w:lang w:val="en" w:eastAsia="zh-CN"/>
        </w:rPr>
        <w:t>负责</w:t>
      </w:r>
      <w:r>
        <w:rPr>
          <w:rFonts w:hint="eastAsia"/>
          <w:color w:val="auto"/>
          <w:lang w:eastAsia="zh-CN"/>
        </w:rPr>
        <w:t>制定</w:t>
      </w:r>
      <w:r>
        <w:rPr>
          <w:rFonts w:hint="eastAsia"/>
          <w:color w:val="auto"/>
        </w:rPr>
        <w:t>石油、烃类天然气（页岩气、煤层气、天然气水合物）、铀、钨、稀土</w:t>
      </w:r>
      <w:r>
        <w:rPr>
          <w:rFonts w:hint="eastAsia"/>
          <w:color w:val="auto"/>
          <w:lang w:eastAsia="zh-CN"/>
        </w:rPr>
        <w:t>以及</w:t>
      </w:r>
      <w:r>
        <w:rPr>
          <w:rFonts w:hint="eastAsia" w:ascii="Times New Roman" w:hAnsi="Times New Roman" w:eastAsia="仿宋_GB2312" w:cs="Times New Roman"/>
          <w:b w:val="0"/>
          <w:bCs w:val="0"/>
          <w:color w:val="auto"/>
          <w:sz w:val="32"/>
          <w:szCs w:val="32"/>
        </w:rPr>
        <w:t>锰、铬、镍、钴、锡、钼、锑、铂族金属、铌、钽、铍、锂、锆、</w:t>
      </w:r>
      <w:r>
        <w:rPr>
          <w:rFonts w:hint="default" w:ascii="Times New Roman" w:hAnsi="Times New Roman" w:eastAsia="仿宋_GB2312" w:cs="Times New Roman"/>
          <w:b w:val="0"/>
          <w:bCs w:val="0"/>
          <w:color w:val="000000"/>
          <w:sz w:val="32"/>
          <w:szCs w:val="32"/>
        </w:rPr>
        <w:t>铪</w:t>
      </w:r>
      <w:r>
        <w:rPr>
          <w:rFonts w:hint="eastAsia" w:ascii="Times New Roman" w:hAnsi="Times New Roman" w:eastAsia="仿宋_GB2312" w:cs="Times New Roman"/>
          <w:b w:val="0"/>
          <w:bCs w:val="0"/>
          <w:color w:val="auto"/>
          <w:sz w:val="32"/>
          <w:szCs w:val="32"/>
        </w:rPr>
        <w:t>、石墨、磷、钾盐、高纯石英矿、氦气</w:t>
      </w:r>
      <w:r>
        <w:rPr>
          <w:rFonts w:hint="eastAsia" w:ascii="Times New Roman" w:hAnsi="Times New Roman" w:eastAsia="仿宋_GB2312" w:cs="Times New Roman"/>
          <w:color w:val="auto"/>
          <w:sz w:val="32"/>
          <w:szCs w:val="32"/>
          <w:lang w:val="en-US" w:eastAsia="zh-CN"/>
        </w:rPr>
        <w:t>的</w:t>
      </w:r>
      <w:r>
        <w:rPr>
          <w:rFonts w:hint="eastAsia" w:ascii="Times New Roman" w:hAnsi="Times New Roman" w:eastAsia="仿宋_GB2312" w:cs="Times New Roman"/>
          <w:color w:val="auto"/>
          <w:sz w:val="32"/>
          <w:szCs w:val="32"/>
          <w:lang w:eastAsia="zh-CN"/>
        </w:rPr>
        <w:t>年度出让计划</w:t>
      </w:r>
      <w:r>
        <w:rPr>
          <w:rFonts w:hint="eastAsia" w:cs="Times New Roman"/>
          <w:color w:val="auto"/>
          <w:sz w:val="32"/>
          <w:szCs w:val="32"/>
          <w:lang w:eastAsia="zh-CN"/>
        </w:rPr>
        <w:t>；</w:t>
      </w:r>
      <w:r>
        <w:rPr>
          <w:rFonts w:hint="eastAsia"/>
          <w:color w:val="auto"/>
          <w:lang w:eastAsia="zh-CN"/>
        </w:rPr>
        <w:t>其他</w:t>
      </w:r>
      <w:r>
        <w:rPr>
          <w:rFonts w:hint="eastAsia"/>
          <w:color w:val="auto"/>
        </w:rPr>
        <w:t>战略性矿产</w:t>
      </w:r>
      <w:r>
        <w:rPr>
          <w:rFonts w:hint="eastAsia"/>
          <w:color w:val="auto"/>
          <w:lang w:eastAsia="zh-CN"/>
        </w:rPr>
        <w:t>由</w:t>
      </w:r>
      <w:r>
        <w:rPr>
          <w:rFonts w:hint="eastAsia"/>
          <w:color w:val="auto"/>
        </w:rPr>
        <w:t>省级自然资源主管部门</w:t>
      </w:r>
      <w:r>
        <w:rPr>
          <w:rFonts w:hint="eastAsia"/>
          <w:color w:val="auto"/>
          <w:lang w:eastAsia="zh-CN"/>
        </w:rPr>
        <w:t>负责</w:t>
      </w:r>
      <w:r>
        <w:rPr>
          <w:rFonts w:hint="eastAsia"/>
          <w:color w:val="auto"/>
        </w:rPr>
        <w:t>制定年度出让计划</w:t>
      </w:r>
      <w:r>
        <w:rPr>
          <w:rFonts w:hint="eastAsia"/>
          <w:color w:val="auto"/>
          <w:lang w:eastAsia="zh-CN"/>
        </w:rPr>
        <w:t>，报自然资源部后实施</w:t>
      </w:r>
      <w:r>
        <w:rPr>
          <w:rFonts w:hint="eastAsia" w:ascii="Times New Roman" w:hAnsi="Times New Roman" w:eastAsia="仿宋_GB2312" w:cs="Times New Roman"/>
          <w:color w:val="auto"/>
          <w:sz w:val="32"/>
          <w:szCs w:val="32"/>
          <w:lang w:val="en-US" w:eastAsia="zh-CN"/>
        </w:rPr>
        <w:t>出让</w:t>
      </w:r>
      <w:r>
        <w:rPr>
          <w:rFonts w:hint="eastAsia"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登记</w:t>
      </w:r>
      <w:r>
        <w:rPr>
          <w:rFonts w:hint="eastAsia"/>
          <w:color w:val="auto"/>
          <w:lang w:eastAsia="zh-CN"/>
        </w:rPr>
        <w:t>。</w:t>
      </w:r>
    </w:p>
    <w:p w14:paraId="3BB1BBF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color w:val="auto"/>
        </w:rPr>
        <w:t>省级自然资源主管部门应对市、县矿业权出让工作加强</w:t>
      </w:r>
      <w:r>
        <w:rPr>
          <w:rFonts w:hint="default"/>
          <w:strike w:val="0"/>
          <w:dstrike w:val="0"/>
          <w:color w:val="auto"/>
          <w:lang w:val="en" w:eastAsia="zh-CN"/>
        </w:rPr>
        <w:t>指导和</w:t>
      </w:r>
      <w:r>
        <w:rPr>
          <w:rFonts w:hint="eastAsia"/>
          <w:color w:val="auto"/>
          <w:lang w:eastAsia="zh-CN"/>
        </w:rPr>
        <w:t>监管</w:t>
      </w:r>
      <w:r>
        <w:rPr>
          <w:rFonts w:hint="eastAsia"/>
          <w:color w:val="auto"/>
        </w:rPr>
        <w:t>。</w:t>
      </w:r>
      <w:r>
        <w:rPr>
          <w:rFonts w:hint="eastAsia"/>
          <w:color w:val="auto"/>
          <w:lang w:eastAsia="zh-CN"/>
        </w:rPr>
        <w:t>矿业权出让计划在确保总量的前提下可</w:t>
      </w:r>
      <w:r>
        <w:rPr>
          <w:rFonts w:hint="eastAsia"/>
          <w:color w:val="auto"/>
        </w:rPr>
        <w:t>动态调整。</w:t>
      </w:r>
    </w:p>
    <w:p w14:paraId="3A12B264">
      <w:pPr>
        <w:keepNext w:val="0"/>
        <w:keepLines w:val="0"/>
        <w:pageBreakBefore w:val="0"/>
        <w:widowControl w:val="0"/>
        <w:kinsoku/>
        <w:overflowPunct/>
        <w:topLinePunct w:val="0"/>
        <w:autoSpaceDE/>
        <w:autoSpaceDN/>
        <w:bidi w:val="0"/>
        <w:adjustRightInd/>
        <w:snapToGrid/>
        <w:spacing w:line="580" w:lineRule="exact"/>
        <w:ind w:left="0" w:right="0" w:firstLine="640" w:firstLineChars="0"/>
        <w:textAlignment w:val="auto"/>
        <w:rPr>
          <w:rFonts w:hint="eastAsia"/>
          <w:strike/>
          <w:dstrike w:val="0"/>
          <w:color w:val="auto"/>
        </w:rPr>
      </w:pPr>
      <w:r>
        <w:rPr>
          <w:rFonts w:hint="eastAsia"/>
          <w:color w:val="auto"/>
        </w:rPr>
        <w:t>（</w:t>
      </w:r>
      <w:r>
        <w:rPr>
          <w:rFonts w:hint="eastAsia"/>
          <w:color w:val="auto"/>
          <w:lang w:eastAsia="zh-CN"/>
        </w:rPr>
        <w:t>二</w:t>
      </w:r>
      <w:r>
        <w:rPr>
          <w:rFonts w:hint="eastAsia"/>
          <w:color w:val="auto"/>
        </w:rPr>
        <w:t>）【出让权限】自然资源部负责石油、烃类天然气（页岩气、煤层气、天然气水合物）、铀、钨、稀土以及我国管辖</w:t>
      </w:r>
      <w:r>
        <w:rPr>
          <w:rFonts w:hint="eastAsia"/>
          <w:color w:val="auto"/>
          <w:lang w:eastAsia="zh-CN"/>
        </w:rPr>
        <w:t>领海以外</w:t>
      </w:r>
      <w:r>
        <w:rPr>
          <w:rFonts w:hint="eastAsia"/>
          <w:color w:val="auto"/>
        </w:rPr>
        <w:t>海域矿产资源的矿业权出让。省级自然资源主管部门负责其他战略性矿产资源以及我国领海矿产资源的矿业权出让。</w:t>
      </w:r>
    </w:p>
    <w:p w14:paraId="140CE65A">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strike/>
          <w:color w:val="000000"/>
          <w:lang w:eastAsia="zh-CN"/>
        </w:rPr>
      </w:pPr>
      <w:r>
        <w:rPr>
          <w:rFonts w:hint="eastAsia"/>
          <w:color w:val="auto"/>
        </w:rPr>
        <w:t>矿业权出让、登记和勘查开采许可实行同级管理。</w:t>
      </w:r>
      <w:r>
        <w:rPr>
          <w:rFonts w:hint="eastAsia"/>
          <w:color w:val="auto"/>
          <w:lang w:eastAsia="zh-CN"/>
        </w:rPr>
        <w:t>省级管理</w:t>
      </w:r>
      <w:r>
        <w:rPr>
          <w:rFonts w:hint="eastAsia"/>
          <w:color w:val="auto"/>
        </w:rPr>
        <w:t>海域海砂采矿权和海域使用权实行“两权合一”出让。</w:t>
      </w:r>
    </w:p>
    <w:p w14:paraId="50A280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color w:val="auto"/>
        </w:rPr>
      </w:pPr>
      <w:r>
        <w:rPr>
          <w:rFonts w:hint="eastAsia"/>
          <w:color w:val="auto"/>
          <w:lang w:eastAsia="zh-CN"/>
        </w:rPr>
        <w:t>（三）</w:t>
      </w:r>
      <w:r>
        <w:rPr>
          <w:rFonts w:hint="eastAsia"/>
          <w:color w:val="auto"/>
        </w:rPr>
        <w:t>【出让主矿种确定】各级自然资源主管部门应结合成矿地质条件、找矿线索、资源储量规模、经济社会价值及战略重要程度，科学合理确定出让矿业权的勘查开采</w:t>
      </w:r>
      <w:r>
        <w:rPr>
          <w:rFonts w:hint="eastAsia"/>
          <w:color w:val="auto"/>
          <w:lang w:eastAsia="zh-CN"/>
        </w:rPr>
        <w:t>主</w:t>
      </w:r>
      <w:r>
        <w:rPr>
          <w:rFonts w:hint="eastAsia"/>
          <w:color w:val="auto"/>
        </w:rPr>
        <w:t>矿种，按照主矿种确定出让权限。</w:t>
      </w:r>
    </w:p>
    <w:p w14:paraId="784D66B8">
      <w:pPr>
        <w:keepNext w:val="0"/>
        <w:keepLines w:val="0"/>
        <w:pageBreakBefore w:val="0"/>
        <w:widowControl w:val="0"/>
        <w:numPr>
          <w:ilvl w:val="0"/>
          <w:numId w:val="0"/>
        </w:numPr>
        <w:kinsoku/>
        <w:overflowPunct/>
        <w:topLinePunct w:val="0"/>
        <w:autoSpaceDE/>
        <w:autoSpaceDN/>
        <w:bidi w:val="0"/>
        <w:adjustRightInd/>
        <w:snapToGrid/>
        <w:spacing w:line="580" w:lineRule="exact"/>
        <w:ind w:left="0" w:right="0" w:firstLine="640" w:firstLineChars="200"/>
        <w:textAlignment w:val="auto"/>
        <w:rPr>
          <w:color w:val="auto"/>
        </w:rPr>
      </w:pPr>
      <w:r>
        <w:rPr>
          <w:rFonts w:hint="eastAsia"/>
          <w:color w:val="auto"/>
        </w:rPr>
        <w:t>战略性矿产与</w:t>
      </w:r>
      <w:r>
        <w:rPr>
          <w:rFonts w:hint="eastAsia"/>
          <w:strike w:val="0"/>
          <w:color w:val="auto"/>
          <w:lang w:eastAsia="zh-CN"/>
        </w:rPr>
        <w:t>其他</w:t>
      </w:r>
      <w:r>
        <w:rPr>
          <w:rFonts w:hint="eastAsia"/>
          <w:color w:val="auto"/>
        </w:rPr>
        <w:t>矿产共伴生，且战略性矿产资源储量规模达到中型</w:t>
      </w:r>
      <w:r>
        <w:rPr>
          <w:rFonts w:hint="eastAsia"/>
          <w:color w:val="auto"/>
          <w:lang w:eastAsia="zh-CN"/>
        </w:rPr>
        <w:t>及</w:t>
      </w:r>
      <w:r>
        <w:rPr>
          <w:rFonts w:hint="eastAsia"/>
          <w:color w:val="auto"/>
        </w:rPr>
        <w:t>以上的，按照战略性矿产</w:t>
      </w:r>
      <w:r>
        <w:rPr>
          <w:rFonts w:hint="eastAsia"/>
          <w:color w:val="auto"/>
          <w:lang w:eastAsia="zh-CN"/>
        </w:rPr>
        <w:t>就高</w:t>
      </w:r>
      <w:r>
        <w:rPr>
          <w:rFonts w:hint="eastAsia"/>
          <w:color w:val="auto"/>
        </w:rPr>
        <w:t>确定出让权限。</w:t>
      </w:r>
    </w:p>
    <w:p w14:paraId="3C74152A">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（四）</w:t>
      </w:r>
      <w:r>
        <w:rPr>
          <w:rFonts w:hint="eastAsia"/>
          <w:color w:val="auto"/>
        </w:rPr>
        <w:t>【矿业权区块设置】设立矿业权必须符合国土空间规划、矿产资源规划及国家产业政策等相关规定</w:t>
      </w:r>
      <w:r>
        <w:rPr>
          <w:rFonts w:hint="eastAsia"/>
          <w:color w:val="auto"/>
          <w:lang w:val="en-US" w:eastAsia="zh-CN"/>
        </w:rPr>
        <w:t>，</w:t>
      </w:r>
      <w:r>
        <w:rPr>
          <w:rFonts w:hint="eastAsia"/>
          <w:color w:val="auto"/>
        </w:rPr>
        <w:t>持续优化矿山勘查开发布局，</w:t>
      </w:r>
      <w:r>
        <w:rPr>
          <w:color w:val="auto"/>
        </w:rPr>
        <w:t>推动资源集约</w:t>
      </w:r>
      <w:r>
        <w:rPr>
          <w:rFonts w:hint="eastAsia"/>
          <w:color w:val="auto"/>
        </w:rPr>
        <w:t>节约和</w:t>
      </w:r>
      <w:r>
        <w:rPr>
          <w:color w:val="auto"/>
        </w:rPr>
        <w:t>高效利用</w:t>
      </w:r>
      <w:r>
        <w:rPr>
          <w:rFonts w:hint="eastAsia"/>
          <w:color w:val="auto"/>
        </w:rPr>
        <w:t>。</w:t>
      </w:r>
    </w:p>
    <w:p w14:paraId="21F1365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color w:val="auto"/>
        </w:rPr>
        <w:t>对矿产资源聚集区，</w:t>
      </w:r>
      <w:r>
        <w:rPr>
          <w:rFonts w:hint="eastAsia"/>
          <w:color w:val="auto"/>
          <w:lang w:eastAsia="zh-CN"/>
        </w:rPr>
        <w:t>鼓励各地</w:t>
      </w:r>
      <w:r>
        <w:rPr>
          <w:rFonts w:hint="eastAsia"/>
          <w:color w:val="auto"/>
        </w:rPr>
        <w:t>根据矿产资源自然赋存情况、地质条件和矿产资源规划，</w:t>
      </w:r>
      <w:r>
        <w:rPr>
          <w:rFonts w:hint="eastAsia"/>
          <w:color w:val="auto"/>
          <w:lang w:eastAsia="zh-CN"/>
        </w:rPr>
        <w:t>组织</w:t>
      </w:r>
      <w:r>
        <w:rPr>
          <w:rFonts w:hint="eastAsia"/>
          <w:color w:val="auto"/>
        </w:rPr>
        <w:t>编制矿区整体开发方案</w:t>
      </w:r>
      <w:r>
        <w:rPr>
          <w:rFonts w:hint="eastAsia"/>
          <w:color w:val="auto"/>
          <w:lang w:eastAsia="zh-CN"/>
        </w:rPr>
        <w:t>，</w:t>
      </w:r>
      <w:r>
        <w:rPr>
          <w:rFonts w:hint="eastAsia"/>
          <w:color w:val="auto"/>
          <w:lang w:val="en-US" w:eastAsia="zh-CN"/>
        </w:rPr>
        <w:t>支持</w:t>
      </w:r>
      <w:r>
        <w:rPr>
          <w:rFonts w:hint="eastAsia"/>
          <w:color w:val="auto"/>
        </w:rPr>
        <w:t>企业利用资金、技术和管理等优势，通过市场化方式整合现有矿山周边采矿权、探矿权</w:t>
      </w:r>
      <w:r>
        <w:rPr>
          <w:rFonts w:hint="eastAsia"/>
          <w:color w:val="auto"/>
          <w:lang w:eastAsia="zh-CN"/>
        </w:rPr>
        <w:t>，不断</w:t>
      </w:r>
      <w:r>
        <w:rPr>
          <w:rFonts w:hint="eastAsia" w:ascii="Times New Roman" w:hAnsi="Times New Roman" w:eastAsia="仿宋_GB2312" w:cs="Times New Roman"/>
          <w:color w:val="auto"/>
          <w:sz w:val="32"/>
          <w:szCs w:val="22"/>
          <w:lang w:val="en-US" w:eastAsia="zh-CN" w:bidi="ar-SA"/>
        </w:rPr>
        <w:t>优化</w:t>
      </w:r>
      <w:r>
        <w:rPr>
          <w:rFonts w:hint="eastAsia" w:cs="Times New Roman"/>
          <w:color w:val="auto"/>
          <w:sz w:val="32"/>
          <w:szCs w:val="22"/>
          <w:lang w:val="en-US" w:eastAsia="zh-CN" w:bidi="ar-SA"/>
        </w:rPr>
        <w:t>矿业权</w:t>
      </w:r>
      <w:r>
        <w:rPr>
          <w:rFonts w:hint="eastAsia" w:ascii="Times New Roman" w:hAnsi="Times New Roman" w:eastAsia="仿宋_GB2312" w:cs="Times New Roman"/>
          <w:color w:val="auto"/>
          <w:sz w:val="32"/>
          <w:szCs w:val="22"/>
          <w:lang w:val="en-US" w:eastAsia="zh-CN" w:bidi="ar-SA"/>
        </w:rPr>
        <w:t>设置</w:t>
      </w:r>
      <w:r>
        <w:rPr>
          <w:rFonts w:hint="eastAsia"/>
          <w:color w:val="auto"/>
        </w:rPr>
        <w:t>。</w:t>
      </w:r>
    </w:p>
    <w:p w14:paraId="26683A3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（五）</w:t>
      </w:r>
      <w:r>
        <w:rPr>
          <w:rFonts w:hint="eastAsia"/>
          <w:color w:val="auto"/>
        </w:rPr>
        <w:t>【</w:t>
      </w:r>
      <w:r>
        <w:rPr>
          <w:rFonts w:hint="eastAsia"/>
          <w:color w:val="auto"/>
          <w:lang w:eastAsia="zh-CN"/>
        </w:rPr>
        <w:t>区块出让面积</w:t>
      </w:r>
      <w:r>
        <w:rPr>
          <w:rFonts w:hint="eastAsia"/>
          <w:color w:val="auto"/>
        </w:rPr>
        <w:t>】探矿权出让的范围不应超过规定的最大面积：</w:t>
      </w:r>
    </w:p>
    <w:p w14:paraId="2514067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1.石油、烃类天然气（以下简称</w:t>
      </w:r>
      <w:r>
        <w:rPr>
          <w:rFonts w:hint="eastAsia"/>
          <w:color w:val="auto"/>
          <w:lang w:eastAsia="zh-CN"/>
        </w:rPr>
        <w:t>“</w:t>
      </w:r>
      <w:r>
        <w:rPr>
          <w:rFonts w:hint="eastAsia"/>
          <w:color w:val="auto"/>
        </w:rPr>
        <w:t>油气矿产</w:t>
      </w:r>
      <w:r>
        <w:rPr>
          <w:rFonts w:hint="eastAsia"/>
          <w:color w:val="auto"/>
          <w:lang w:eastAsia="zh-CN"/>
        </w:rPr>
        <w:t>”</w:t>
      </w:r>
      <w:r>
        <w:rPr>
          <w:rFonts w:hint="eastAsia"/>
          <w:color w:val="auto"/>
        </w:rPr>
        <w:t>）、盐湖</w:t>
      </w:r>
      <w:r>
        <w:rPr>
          <w:rFonts w:hint="eastAsia"/>
          <w:color w:val="auto"/>
          <w:lang w:eastAsia="zh-CN"/>
        </w:rPr>
        <w:t>类</w:t>
      </w:r>
      <w:r>
        <w:rPr>
          <w:rFonts w:hint="eastAsia"/>
          <w:color w:val="auto"/>
        </w:rPr>
        <w:t>矿产为2000平方千米；</w:t>
      </w:r>
    </w:p>
    <w:p w14:paraId="315107E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2.煤、地热、水气矿产为</w:t>
      </w:r>
      <w:r>
        <w:rPr>
          <w:rFonts w:hint="eastAsia"/>
          <w:color w:val="auto"/>
          <w:lang w:val="en-US" w:eastAsia="zh-CN"/>
        </w:rPr>
        <w:t>3</w:t>
      </w:r>
      <w:r>
        <w:rPr>
          <w:rFonts w:hint="eastAsia"/>
          <w:color w:val="auto"/>
        </w:rPr>
        <w:t>00平方千米，其中矿泉水为30平方千米；</w:t>
      </w:r>
    </w:p>
    <w:p w14:paraId="30DBD81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3.金属矿产、非金属矿产、放射性矿产及其他矿产为1</w:t>
      </w:r>
      <w:r>
        <w:rPr>
          <w:rFonts w:hint="eastAsia"/>
          <w:color w:val="auto"/>
          <w:lang w:val="en-US" w:eastAsia="zh-CN"/>
        </w:rPr>
        <w:t>5</w:t>
      </w:r>
      <w:r>
        <w:rPr>
          <w:rFonts w:hint="eastAsia"/>
          <w:color w:val="auto"/>
        </w:rPr>
        <w:t>0平方千米。</w:t>
      </w:r>
    </w:p>
    <w:p w14:paraId="11C98437">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lang w:eastAsia="zh-CN"/>
        </w:rPr>
        <w:t>（六）</w:t>
      </w:r>
      <w:r>
        <w:rPr>
          <w:rFonts w:hint="eastAsia"/>
          <w:color w:val="auto"/>
        </w:rPr>
        <w:t>【协议出让】稀土、铀矿等矿产资源需由特定主体勘查、开采的，可以通过协议方式出让矿业权。</w:t>
      </w:r>
    </w:p>
    <w:p w14:paraId="59938ACB">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lang w:eastAsia="zh-CN"/>
        </w:rPr>
        <w:t>按照</w:t>
      </w:r>
      <w:r>
        <w:rPr>
          <w:rFonts w:hint="eastAsia"/>
          <w:color w:val="auto"/>
        </w:rPr>
        <w:t>《矿产资源法实施条例》规定</w:t>
      </w:r>
      <w:r>
        <w:rPr>
          <w:rFonts w:hint="eastAsia"/>
          <w:color w:val="auto"/>
          <w:lang w:eastAsia="zh-CN"/>
        </w:rPr>
        <w:t>，符合协议出让条件的，</w:t>
      </w:r>
      <w:r>
        <w:rPr>
          <w:rFonts w:hint="eastAsia"/>
          <w:color w:val="auto"/>
        </w:rPr>
        <w:t>由</w:t>
      </w:r>
      <w:r>
        <w:rPr>
          <w:rFonts w:hint="eastAsia"/>
          <w:color w:val="auto"/>
          <w:lang w:eastAsia="zh-CN"/>
        </w:rPr>
        <w:t>申请</w:t>
      </w:r>
      <w:r>
        <w:rPr>
          <w:rFonts w:hint="eastAsia"/>
          <w:color w:val="auto"/>
        </w:rPr>
        <w:t>人提出协议出让申请，经自然资源主管部门核查国土空间</w:t>
      </w:r>
      <w:r>
        <w:rPr>
          <w:rFonts w:hint="eastAsia"/>
          <w:color w:val="auto"/>
          <w:lang w:eastAsia="zh-CN"/>
        </w:rPr>
        <w:t>规划</w:t>
      </w:r>
      <w:r>
        <w:rPr>
          <w:rFonts w:hint="eastAsia"/>
          <w:color w:val="auto"/>
        </w:rPr>
        <w:t>和矿产资源规划要求、按照交易规则公示后，签订矿业权出让合同。</w:t>
      </w:r>
      <w:r>
        <w:rPr>
          <w:rFonts w:hint="eastAsia"/>
          <w:color w:val="auto"/>
          <w:lang w:eastAsia="zh-CN"/>
        </w:rPr>
        <w:t>其中，对于拟</w:t>
      </w:r>
      <w:r>
        <w:rPr>
          <w:rFonts w:hint="eastAsia"/>
          <w:color w:val="auto"/>
        </w:rPr>
        <w:t>协议出让周边零星分散资源、夹缝区域资源</w:t>
      </w:r>
      <w:r>
        <w:rPr>
          <w:rFonts w:hint="eastAsia"/>
          <w:color w:val="auto"/>
          <w:lang w:eastAsia="zh-CN"/>
        </w:rPr>
        <w:t>矿业权</w:t>
      </w:r>
      <w:r>
        <w:rPr>
          <w:rFonts w:hint="eastAsia"/>
          <w:color w:val="auto"/>
        </w:rPr>
        <w:t>情形的，应</w:t>
      </w:r>
      <w:r>
        <w:rPr>
          <w:rFonts w:hint="eastAsia"/>
          <w:color w:val="auto"/>
          <w:lang w:eastAsia="zh-CN"/>
        </w:rPr>
        <w:t>符合</w:t>
      </w:r>
      <w:r>
        <w:rPr>
          <w:rFonts w:hint="eastAsia"/>
          <w:color w:val="auto"/>
        </w:rPr>
        <w:t>矿区整体开发方案</w:t>
      </w:r>
      <w:r>
        <w:rPr>
          <w:rFonts w:hint="eastAsia"/>
          <w:color w:val="auto"/>
          <w:lang w:eastAsia="zh-CN"/>
        </w:rPr>
        <w:t>或由出让部门组织论证</w:t>
      </w:r>
      <w:r>
        <w:rPr>
          <w:rFonts w:hint="eastAsia"/>
          <w:color w:val="auto"/>
        </w:rPr>
        <w:t>。</w:t>
      </w:r>
    </w:p>
    <w:p w14:paraId="2DAE441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（七）</w:t>
      </w:r>
      <w:r>
        <w:rPr>
          <w:rFonts w:hint="eastAsia"/>
          <w:color w:val="auto"/>
        </w:rPr>
        <w:t>【矿业权人主体资格】非油气探矿权人应为营利法人，</w:t>
      </w:r>
      <w:r>
        <w:rPr>
          <w:rFonts w:hint="eastAsia"/>
          <w:color w:val="auto"/>
          <w:lang w:eastAsia="zh-CN"/>
        </w:rPr>
        <w:t>或</w:t>
      </w:r>
      <w:r>
        <w:rPr>
          <w:rFonts w:hint="eastAsia"/>
          <w:color w:val="auto"/>
        </w:rPr>
        <w:t>非营利法人中的事业单位法人；非油气采矿权人原则上应为营利法人。</w:t>
      </w:r>
      <w:r>
        <w:rPr>
          <w:rFonts w:hint="eastAsia"/>
          <w:color w:val="auto"/>
          <w:lang w:eastAsia="zh-CN"/>
        </w:rPr>
        <w:t>油气矿产</w:t>
      </w:r>
      <w:r>
        <w:rPr>
          <w:rFonts w:hint="eastAsia"/>
          <w:color w:val="auto"/>
        </w:rPr>
        <w:t>矿业权人应为营利法人，且净资产不低于3亿元人民币。</w:t>
      </w:r>
    </w:p>
    <w:p w14:paraId="7B1CA85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（八）</w:t>
      </w:r>
      <w:r>
        <w:rPr>
          <w:rFonts w:hint="eastAsia"/>
          <w:color w:val="auto"/>
        </w:rPr>
        <w:t>【出让要求】县级以上自然资源主管部门应加强矿业权出让前期准备工作，优化矿业权出让流程，提高服务效率。依据矿产资源规划、地质工作成果和各类主体报送区块等，建立矿业权出让项目库，会同</w:t>
      </w:r>
      <w:r>
        <w:rPr>
          <w:rFonts w:hint="eastAsia"/>
          <w:color w:val="auto"/>
          <w:lang w:eastAsia="zh-CN"/>
        </w:rPr>
        <w:t>相关</w:t>
      </w:r>
      <w:r>
        <w:rPr>
          <w:rFonts w:hint="eastAsia"/>
          <w:color w:val="auto"/>
        </w:rPr>
        <w:t>部门，依法依规避让禁止勘查开采区域，合理确定出让范围，并做好与用地用海用林用草等要素和管理政策的衔接。</w:t>
      </w:r>
    </w:p>
    <w:p w14:paraId="0962D00A">
      <w:pPr>
        <w:keepNext w:val="0"/>
        <w:keepLines w:val="0"/>
        <w:pageBreakBefore w:val="0"/>
        <w:widowControl w:val="0"/>
        <w:kinsoku/>
        <w:wordWrap/>
        <w:overflowPunct/>
        <w:topLinePunct w:val="0"/>
        <w:autoSpaceDE/>
        <w:autoSpaceDN/>
        <w:bidi w:val="0"/>
        <w:adjustRightInd/>
        <w:snapToGrid/>
        <w:spacing w:line="580" w:lineRule="exact"/>
        <w:ind w:left="0" w:right="0"/>
        <w:textAlignment w:val="auto"/>
        <w:rPr>
          <w:rFonts w:hint="eastAsia" w:ascii="黑体" w:hAnsi="黑体" w:eastAsia="黑体" w:cs="黑体"/>
          <w:color w:val="auto"/>
        </w:rPr>
      </w:pPr>
      <w:r>
        <w:rPr>
          <w:rFonts w:hint="eastAsia" w:ascii="黑体" w:hAnsi="黑体" w:eastAsia="黑体" w:cs="黑体"/>
          <w:color w:val="auto"/>
          <w:lang w:eastAsia="zh-CN"/>
        </w:rPr>
        <w:t>二、</w:t>
      </w:r>
      <w:r>
        <w:rPr>
          <w:rFonts w:hint="eastAsia" w:ascii="黑体" w:hAnsi="黑体" w:eastAsia="黑体" w:cs="黑体"/>
          <w:color w:val="auto"/>
        </w:rPr>
        <w:t>矿业权出让合同管理</w:t>
      </w:r>
    </w:p>
    <w:p w14:paraId="1DB3F4C3">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九</w:t>
      </w:r>
      <w:r>
        <w:rPr>
          <w:rFonts w:hint="eastAsia"/>
          <w:color w:val="auto"/>
        </w:rPr>
        <w:t>）【合同文本】自然资源部负责制定《探矿权出让合同示范文本》《采矿权出让合同示范文本》。各地可结合本地实际，进一步完善矿业权出让合同内容及工作要求，有效规范本行政区域内矿业权出让工作。</w:t>
      </w:r>
    </w:p>
    <w:p w14:paraId="166C580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自然资源主管部门在矿业权出让、探矿权转采矿权时，应参照合同示范文本与受让人签订矿业权出让合同。</w:t>
      </w:r>
      <w:r>
        <w:rPr>
          <w:rFonts w:hint="eastAsia"/>
          <w:color w:val="auto"/>
          <w:lang w:eastAsia="zh-CN"/>
        </w:rPr>
        <w:t>其中，</w:t>
      </w:r>
      <w:r>
        <w:rPr>
          <w:rFonts w:hint="eastAsia"/>
          <w:color w:val="auto"/>
        </w:rPr>
        <w:t>探矿权转采矿权的，采矿权出让合同签订后，原探矿权出让合同解除或</w:t>
      </w:r>
      <w:r>
        <w:rPr>
          <w:rFonts w:hint="eastAsia"/>
          <w:color w:val="auto"/>
          <w:lang w:eastAsia="zh-CN"/>
        </w:rPr>
        <w:t>签订补充协议</w:t>
      </w:r>
      <w:r>
        <w:rPr>
          <w:rFonts w:hint="eastAsia"/>
          <w:color w:val="auto"/>
        </w:rPr>
        <w:t>。</w:t>
      </w:r>
    </w:p>
    <w:p w14:paraId="794A10F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ascii="Times New Roman" w:hAnsi="Times New Roman" w:eastAsia="仿宋_GB2312" w:cs="Times New Roman"/>
          <w:color w:val="auto"/>
          <w:sz w:val="32"/>
          <w:szCs w:val="22"/>
          <w:lang w:val="en-US" w:eastAsia="zh-CN" w:bidi="ar-SA"/>
        </w:rPr>
        <w:t>（</w:t>
      </w:r>
      <w:r>
        <w:rPr>
          <w:rFonts w:hint="eastAsia" w:cs="Times New Roman"/>
          <w:color w:val="auto"/>
          <w:sz w:val="32"/>
          <w:szCs w:val="22"/>
          <w:lang w:val="en-US" w:eastAsia="zh-CN" w:bidi="ar-SA"/>
        </w:rPr>
        <w:t>十</w:t>
      </w:r>
      <w:r>
        <w:rPr>
          <w:rFonts w:hint="eastAsia" w:ascii="Times New Roman" w:hAnsi="Times New Roman" w:eastAsia="仿宋_GB2312" w:cs="Times New Roman"/>
          <w:color w:val="auto"/>
          <w:sz w:val="32"/>
          <w:szCs w:val="22"/>
          <w:lang w:val="en-US" w:eastAsia="zh-CN" w:bidi="ar-SA"/>
        </w:rPr>
        <w:t>）【补充协议】</w:t>
      </w:r>
      <w:r>
        <w:rPr>
          <w:rFonts w:hint="eastAsia"/>
          <w:color w:val="auto"/>
        </w:rPr>
        <w:t>涉及矿业权续期、</w:t>
      </w:r>
      <w:r>
        <w:rPr>
          <w:rFonts w:hint="eastAsia"/>
          <w:color w:val="auto"/>
          <w:lang w:val="en-US" w:eastAsia="zh-CN"/>
        </w:rPr>
        <w:t>勘查开采</w:t>
      </w:r>
      <w:r>
        <w:rPr>
          <w:rFonts w:hint="eastAsia"/>
          <w:color w:val="auto"/>
        </w:rPr>
        <w:t>区域变化、</w:t>
      </w:r>
      <w:r>
        <w:rPr>
          <w:rFonts w:hint="eastAsia"/>
          <w:color w:val="auto"/>
          <w:lang w:eastAsia="zh-CN"/>
        </w:rPr>
        <w:t>开采</w:t>
      </w:r>
      <w:r>
        <w:rPr>
          <w:rFonts w:hint="eastAsia"/>
          <w:color w:val="auto"/>
        </w:rPr>
        <w:t>矿种变更以及约定出让收益缴纳等事项的，自然资源主管部门应参照合同示范文本相关条款与矿业权人签订补充协议</w:t>
      </w:r>
      <w:r>
        <w:rPr>
          <w:rFonts w:hint="eastAsia" w:cs="Times New Roman"/>
          <w:color w:val="auto"/>
          <w:sz w:val="32"/>
          <w:szCs w:val="22"/>
          <w:lang w:val="en-US" w:eastAsia="zh-CN" w:bidi="ar-SA"/>
        </w:rPr>
        <w:t>。本通知印发前</w:t>
      </w:r>
      <w:r>
        <w:rPr>
          <w:rFonts w:hint="eastAsia"/>
          <w:color w:val="auto"/>
          <w:lang w:eastAsia="zh-CN"/>
        </w:rPr>
        <w:t>未签订过矿业权出让合同的，应补充签订矿业权出让合同。</w:t>
      </w:r>
    </w:p>
    <w:p w14:paraId="6657D82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十一</w:t>
      </w:r>
      <w:r>
        <w:rPr>
          <w:rFonts w:hint="eastAsia"/>
          <w:color w:val="auto"/>
        </w:rPr>
        <w:t>）【合同签订要求】通过招标、拍卖、挂牌或协议方式出让矿业权的，矿业权出让合同中的勘查开采矿种、勘查开采区域</w:t>
      </w:r>
      <w:r>
        <w:rPr>
          <w:rFonts w:hint="eastAsia"/>
          <w:color w:val="auto"/>
          <w:lang w:eastAsia="zh-CN"/>
        </w:rPr>
        <w:t>和矿业权的期限</w:t>
      </w:r>
      <w:r>
        <w:rPr>
          <w:rFonts w:hint="eastAsia"/>
          <w:color w:val="auto"/>
        </w:rPr>
        <w:t>根据矿业权出让文件确定。以招标、协议方式出让矿业权的，应将受让方承诺事项纳入矿业权出让合同。</w:t>
      </w:r>
    </w:p>
    <w:p w14:paraId="0AD4217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（十二）【采矿权出让合同</w:t>
      </w:r>
      <w:r>
        <w:rPr>
          <w:rFonts w:hint="eastAsia"/>
          <w:color w:val="auto"/>
          <w:lang w:eastAsia="zh-CN"/>
        </w:rPr>
        <w:t>内容</w:t>
      </w:r>
      <w:r>
        <w:rPr>
          <w:rFonts w:hint="eastAsia"/>
          <w:color w:val="auto"/>
        </w:rPr>
        <w:t>】采矿权出让合同的矿种、开采区域根据矿产资源储量报告</w:t>
      </w:r>
      <w:r>
        <w:rPr>
          <w:rFonts w:hint="eastAsia"/>
          <w:color w:val="auto"/>
          <w:lang w:eastAsia="zh-CN"/>
        </w:rPr>
        <w:t>、</w:t>
      </w:r>
      <w:r>
        <w:rPr>
          <w:rFonts w:hint="eastAsia"/>
          <w:color w:val="auto"/>
        </w:rPr>
        <w:t>开采方案确定。开采区域包括资源储量估算范围、井口装置、输油（气）管线（外输管线除外）、集输站、井巷工程设施分布范围或者露天剥离范围的立体空间区域。</w:t>
      </w:r>
    </w:p>
    <w:p w14:paraId="1187C82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开采区域应在开采方案中论证</w:t>
      </w:r>
      <w:r>
        <w:rPr>
          <w:rFonts w:hint="eastAsia"/>
          <w:color w:val="auto"/>
          <w:lang w:eastAsia="zh-CN"/>
        </w:rPr>
        <w:t>并确定</w:t>
      </w:r>
      <w:r>
        <w:rPr>
          <w:rFonts w:hint="eastAsia"/>
          <w:color w:val="auto"/>
        </w:rPr>
        <w:t>。</w:t>
      </w:r>
      <w:r>
        <w:rPr>
          <w:rFonts w:hint="eastAsia"/>
          <w:color w:val="auto"/>
          <w:lang w:eastAsia="zh-CN"/>
        </w:rPr>
        <w:t>对已设采矿权超出登记开采区域的井巷工程设施分布范围、露天剥离范围，无查明资源储量的，应在编制开采方案后签订补充协议或补签出让合同，申请采矿权变更登记。</w:t>
      </w:r>
    </w:p>
    <w:p w14:paraId="44646682">
      <w:pPr>
        <w:keepNext w:val="0"/>
        <w:keepLines w:val="0"/>
        <w:pageBreakBefore w:val="0"/>
        <w:widowControl w:val="0"/>
        <w:numPr>
          <w:ilvl w:val="0"/>
          <w:numId w:val="0"/>
        </w:numPr>
        <w:kinsoku/>
        <w:overflowPunct/>
        <w:topLinePunct w:val="0"/>
        <w:autoSpaceDE/>
        <w:autoSpaceDN/>
        <w:bidi w:val="0"/>
        <w:adjustRightInd/>
        <w:snapToGrid/>
        <w:spacing w:line="580" w:lineRule="exact"/>
        <w:ind w:left="0" w:right="0" w:firstLine="640" w:firstLineChars="200"/>
        <w:textAlignment w:val="auto"/>
        <w:rPr>
          <w:rFonts w:hint="eastAsia"/>
          <w:color w:val="auto"/>
        </w:rPr>
      </w:pPr>
      <w:r>
        <w:rPr>
          <w:rFonts w:hint="eastAsia"/>
          <w:color w:val="auto"/>
          <w:lang w:eastAsia="zh-CN"/>
        </w:rPr>
        <w:t>（</w:t>
      </w:r>
      <w:r>
        <w:rPr>
          <w:rFonts w:hint="eastAsia"/>
          <w:color w:val="auto"/>
        </w:rPr>
        <w:t>十三</w:t>
      </w:r>
      <w:r>
        <w:rPr>
          <w:rFonts w:hint="eastAsia"/>
          <w:color w:val="auto"/>
          <w:lang w:eastAsia="zh-CN"/>
        </w:rPr>
        <w:t>）</w:t>
      </w:r>
      <w:r>
        <w:rPr>
          <w:rFonts w:hint="eastAsia"/>
          <w:color w:val="auto"/>
        </w:rPr>
        <w:t>【合同期限】采矿权出让的期限应结合矿产资源储量和</w:t>
      </w:r>
      <w:r>
        <w:rPr>
          <w:rFonts w:hint="eastAsia"/>
          <w:color w:val="auto"/>
          <w:lang w:eastAsia="zh-CN"/>
        </w:rPr>
        <w:t>开采方案</w:t>
      </w:r>
      <w:r>
        <w:rPr>
          <w:rFonts w:hint="eastAsia" w:ascii="Segoe UI Symbol" w:hAnsi="Segoe UI Symbol" w:cs="Segoe UI Symbol"/>
          <w:color w:val="auto"/>
          <w:lang w:eastAsia="zh-CN"/>
        </w:rPr>
        <w:t>确定</w:t>
      </w:r>
      <w:r>
        <w:rPr>
          <w:rFonts w:hint="eastAsia" w:ascii="Segoe UI Symbol" w:hAnsi="Segoe UI Symbol" w:cs="Segoe UI Symbol"/>
          <w:color w:val="auto"/>
        </w:rPr>
        <w:t>的矿山服务年限</w:t>
      </w:r>
      <w:r>
        <w:rPr>
          <w:rFonts w:hint="eastAsia"/>
          <w:color w:val="auto"/>
        </w:rPr>
        <w:t>确定。矿山拟建设规模为大型的，期限不超过30年；矿山拟建设规模为中型的，期限不超过20年；矿山拟建设规模为小型的，不超过10年。</w:t>
      </w:r>
    </w:p>
    <w:p w14:paraId="1676D6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right="0" w:firstLine="640" w:firstLineChars="200"/>
        <w:textAlignment w:val="auto"/>
        <w:rPr>
          <w:rFonts w:hint="eastAsia" w:ascii="黑体" w:hAnsi="黑体" w:eastAsia="黑体" w:cs="黑体"/>
          <w:color w:val="auto"/>
        </w:rPr>
      </w:pPr>
      <w:r>
        <w:rPr>
          <w:rFonts w:hint="eastAsia" w:ascii="黑体" w:hAnsi="黑体" w:eastAsia="黑体" w:cs="黑体"/>
          <w:color w:val="auto"/>
          <w:lang w:eastAsia="zh-CN"/>
        </w:rPr>
        <w:t>三、</w:t>
      </w:r>
      <w:r>
        <w:rPr>
          <w:rFonts w:hint="eastAsia" w:ascii="黑体" w:hAnsi="黑体" w:eastAsia="黑体" w:cs="黑体"/>
          <w:color w:val="auto"/>
        </w:rPr>
        <w:t>矿业权设立与变更</w:t>
      </w:r>
    </w:p>
    <w:p w14:paraId="24F77CB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（十四）【登记</w:t>
      </w:r>
      <w:r>
        <w:rPr>
          <w:rFonts w:hint="eastAsia"/>
          <w:color w:val="auto"/>
          <w:lang w:eastAsia="zh-CN"/>
        </w:rPr>
        <w:t>情形</w:t>
      </w:r>
      <w:r>
        <w:rPr>
          <w:rFonts w:hint="eastAsia"/>
          <w:color w:val="auto"/>
        </w:rPr>
        <w:t>】通过招标、拍卖、挂牌和协议出让方式取得探矿权和采矿权</w:t>
      </w:r>
      <w:r>
        <w:rPr>
          <w:rFonts w:hint="eastAsia"/>
          <w:color w:val="auto"/>
          <w:lang w:eastAsia="zh-CN"/>
        </w:rPr>
        <w:t>，</w:t>
      </w:r>
      <w:r>
        <w:rPr>
          <w:rFonts w:hint="eastAsia"/>
          <w:color w:val="auto"/>
        </w:rPr>
        <w:t>以及探矿权转采矿权</w:t>
      </w:r>
      <w:r>
        <w:rPr>
          <w:rFonts w:hint="eastAsia"/>
          <w:color w:val="auto"/>
          <w:lang w:eastAsia="zh-CN"/>
        </w:rPr>
        <w:t>和直接授予采矿权</w:t>
      </w:r>
      <w:r>
        <w:rPr>
          <w:rFonts w:hint="eastAsia"/>
          <w:color w:val="auto"/>
        </w:rPr>
        <w:t>的，受让人应当申请办理矿业权首次登记。</w:t>
      </w:r>
    </w:p>
    <w:p w14:paraId="08DBBBB7">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矿业权人名称改变、开采矿种变更、矿业权续期和范围变化以及其他变更情形的，矿业权人应当申请办理矿业权变更登记。</w:t>
      </w:r>
    </w:p>
    <w:p w14:paraId="4D2D664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因放弃矿业权、矿业权消灭等需要申请注销的，矿业权人应当申请办理矿业权注销登记。</w:t>
      </w:r>
    </w:p>
    <w:p w14:paraId="0BED6CA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矿业权转移登记、查封登记、更正登记、异议登记、预告登记、抵押登记等情形，按照相关规定办理。</w:t>
      </w:r>
    </w:p>
    <w:p w14:paraId="56EA3DD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color w:val="auto"/>
        </w:rPr>
        <w:t>（十五）【探矿权不予续期情形】探矿权</w:t>
      </w:r>
      <w:r>
        <w:rPr>
          <w:rFonts w:hint="eastAsia"/>
          <w:color w:val="auto"/>
          <w:lang w:eastAsia="zh-CN"/>
        </w:rPr>
        <w:t>有效</w:t>
      </w:r>
      <w:r>
        <w:rPr>
          <w:rFonts w:hint="eastAsia"/>
          <w:color w:val="auto"/>
        </w:rPr>
        <w:t>期内</w:t>
      </w:r>
      <w:r>
        <w:rPr>
          <w:rFonts w:hint="eastAsia"/>
          <w:color w:val="auto"/>
          <w:lang w:eastAsia="zh-CN"/>
        </w:rPr>
        <w:t>，</w:t>
      </w:r>
      <w:r>
        <w:rPr>
          <w:rFonts w:hint="eastAsia"/>
          <w:color w:val="auto"/>
        </w:rPr>
        <w:t>因探矿权人无正当理由未开展</w:t>
      </w:r>
      <w:r>
        <w:rPr>
          <w:rFonts w:hint="eastAsia"/>
          <w:color w:val="auto"/>
          <w:lang w:eastAsia="zh-CN"/>
        </w:rPr>
        <w:t>勘查工作</w:t>
      </w:r>
      <w:r>
        <w:rPr>
          <w:rFonts w:hint="eastAsia"/>
          <w:color w:val="auto"/>
        </w:rPr>
        <w:t>或未完成经批准的勘查方案提出的</w:t>
      </w:r>
      <w:r>
        <w:rPr>
          <w:rFonts w:hint="eastAsia"/>
          <w:color w:val="auto"/>
          <w:lang w:eastAsia="zh-CN"/>
        </w:rPr>
        <w:t>最低</w:t>
      </w:r>
      <w:r>
        <w:rPr>
          <w:rFonts w:hint="eastAsia"/>
          <w:color w:val="auto"/>
        </w:rPr>
        <w:t>实物工作量的，探矿权期限届满时不予续期</w:t>
      </w:r>
      <w:r>
        <w:rPr>
          <w:rFonts w:hint="eastAsia"/>
          <w:color w:val="auto"/>
          <w:lang w:eastAsia="zh-CN"/>
        </w:rPr>
        <w:t>。</w:t>
      </w:r>
      <w:r>
        <w:rPr>
          <w:rFonts w:hint="eastAsia"/>
          <w:color w:val="auto"/>
        </w:rPr>
        <w:t>已办理探矿权保留或</w:t>
      </w:r>
      <w:r>
        <w:rPr>
          <w:rFonts w:hint="eastAsia"/>
          <w:color w:val="auto"/>
          <w:highlight w:val="none"/>
        </w:rPr>
        <w:t>已提交</w:t>
      </w:r>
      <w:r>
        <w:rPr>
          <w:rFonts w:hint="default"/>
          <w:color w:val="auto"/>
          <w:highlight w:val="none"/>
          <w:lang w:val="en-US"/>
        </w:rPr>
        <w:t>经矿产资源储量审核</w:t>
      </w:r>
      <w:r>
        <w:rPr>
          <w:rFonts w:hint="eastAsia"/>
          <w:color w:val="auto"/>
          <w:highlight w:val="none"/>
          <w:lang w:val="en-US" w:eastAsia="zh-CN"/>
        </w:rPr>
        <w:t>探矿权整体</w:t>
      </w:r>
      <w:r>
        <w:rPr>
          <w:rFonts w:hint="eastAsia"/>
          <w:strike w:val="0"/>
          <w:color w:val="auto"/>
          <w:highlight w:val="none"/>
          <w:lang w:val="en-US" w:eastAsia="zh-CN"/>
        </w:rPr>
        <w:t>达到</w:t>
      </w:r>
      <w:r>
        <w:rPr>
          <w:rFonts w:hint="eastAsia"/>
          <w:color w:val="auto"/>
          <w:highlight w:val="none"/>
        </w:rPr>
        <w:t>详查</w:t>
      </w:r>
      <w:r>
        <w:rPr>
          <w:rFonts w:hint="eastAsia"/>
          <w:color w:val="auto"/>
          <w:highlight w:val="none"/>
          <w:lang w:eastAsia="zh-CN"/>
        </w:rPr>
        <w:t>及</w:t>
      </w:r>
      <w:r>
        <w:rPr>
          <w:rFonts w:hint="eastAsia"/>
          <w:color w:val="auto"/>
          <w:highlight w:val="none"/>
        </w:rPr>
        <w:t>以上矿产资源储量报告的除外</w:t>
      </w:r>
      <w:r>
        <w:rPr>
          <w:rFonts w:hint="eastAsia"/>
          <w:color w:val="auto"/>
        </w:rPr>
        <w:t>。</w:t>
      </w:r>
    </w:p>
    <w:p w14:paraId="5E6B9F3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（十六）【探矿权续期核减面积】探矿权续期的，应当核减原登记勘查区域面积</w:t>
      </w:r>
      <w:r>
        <w:rPr>
          <w:rFonts w:hint="eastAsia"/>
          <w:color w:val="auto"/>
          <w:lang w:eastAsia="zh-CN"/>
        </w:rPr>
        <w:t>不少于</w:t>
      </w:r>
      <w:r>
        <w:rPr>
          <w:rFonts w:hint="eastAsia"/>
          <w:color w:val="auto"/>
        </w:rPr>
        <w:t>20%。</w:t>
      </w:r>
      <w:r>
        <w:rPr>
          <w:rFonts w:hint="eastAsia"/>
          <w:color w:val="auto"/>
          <w:lang w:eastAsia="zh-CN"/>
        </w:rPr>
        <w:t>已</w:t>
      </w:r>
      <w:r>
        <w:rPr>
          <w:rFonts w:hint="eastAsia"/>
          <w:color w:val="auto"/>
        </w:rPr>
        <w:t>查明矿产资源（油气已提交</w:t>
      </w:r>
      <w:r>
        <w:rPr>
          <w:rFonts w:hint="eastAsia"/>
          <w:color w:val="auto"/>
          <w:lang w:eastAsia="zh-CN"/>
        </w:rPr>
        <w:t>探明</w:t>
      </w:r>
      <w:r>
        <w:rPr>
          <w:rFonts w:hint="eastAsia"/>
          <w:color w:val="auto"/>
        </w:rPr>
        <w:t>地质储量以上）的勘查区域面积不计入核减基数。盐湖类矿产</w:t>
      </w:r>
      <w:r>
        <w:rPr>
          <w:rFonts w:hint="eastAsia"/>
          <w:color w:val="auto"/>
          <w:lang w:eastAsia="zh-CN"/>
        </w:rPr>
        <w:t>、</w:t>
      </w:r>
      <w:r>
        <w:rPr>
          <w:rFonts w:hint="eastAsia" w:ascii="Times New Roman" w:hAnsi="Times New Roman" w:eastAsia="仿宋_GB2312" w:cs="Times New Roman"/>
          <w:color w:val="auto"/>
          <w:sz w:val="32"/>
          <w:szCs w:val="22"/>
          <w:lang w:val="en-US" w:eastAsia="zh-CN" w:bidi="ar-SA"/>
        </w:rPr>
        <w:t>地热、矿泉水探矿权</w:t>
      </w:r>
      <w:r>
        <w:rPr>
          <w:rFonts w:hint="eastAsia" w:cs="Times New Roman"/>
          <w:color w:val="auto"/>
          <w:sz w:val="32"/>
          <w:szCs w:val="22"/>
          <w:lang w:val="en-US" w:eastAsia="zh-CN" w:bidi="ar-SA"/>
        </w:rPr>
        <w:t>，</w:t>
      </w:r>
      <w:r>
        <w:rPr>
          <w:rFonts w:hint="eastAsia"/>
          <w:color w:val="auto"/>
        </w:rPr>
        <w:t>采矿权深部或上部以及其他特殊情形探矿权的勘查区域，可以不予核减。</w:t>
      </w:r>
    </w:p>
    <w:p w14:paraId="2A2774E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申请油气探矿权续期的，探矿权人可以按照上述规定提出核减探矿权勘查区域面积，也可以核减该探矿权人</w:t>
      </w:r>
      <w:r>
        <w:rPr>
          <w:rFonts w:hint="eastAsia"/>
          <w:color w:val="auto"/>
          <w:lang w:eastAsia="zh-CN"/>
        </w:rPr>
        <w:t>持有的</w:t>
      </w:r>
      <w:r>
        <w:rPr>
          <w:rFonts w:hint="eastAsia"/>
          <w:color w:val="auto"/>
        </w:rPr>
        <w:t>其他</w:t>
      </w:r>
      <w:r>
        <w:rPr>
          <w:rFonts w:hint="eastAsia"/>
          <w:color w:val="auto"/>
          <w:lang w:eastAsia="zh-CN"/>
        </w:rPr>
        <w:t>探矿权勘查区域</w:t>
      </w:r>
      <w:r>
        <w:rPr>
          <w:rFonts w:hint="eastAsia"/>
          <w:color w:val="auto"/>
        </w:rPr>
        <w:t>面积</w:t>
      </w:r>
      <w:r>
        <w:rPr>
          <w:rFonts w:hint="eastAsia"/>
          <w:color w:val="auto"/>
          <w:lang w:eastAsia="zh-CN"/>
        </w:rPr>
        <w:t>。同一矿业权人持有的油气探矿权可集中统一核减，</w:t>
      </w:r>
      <w:r>
        <w:rPr>
          <w:rFonts w:hint="eastAsia"/>
          <w:color w:val="auto"/>
        </w:rPr>
        <w:t>核减退出后的区域应相对集中完整。新出让的油气探矿权5年内不得用于抵扣该探矿权人其他区块应扣减面积。</w:t>
      </w:r>
    </w:p>
    <w:p w14:paraId="4C53591A">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本通知印发前，已签订的</w:t>
      </w:r>
      <w:r>
        <w:rPr>
          <w:rFonts w:hint="eastAsia"/>
          <w:color w:val="auto"/>
        </w:rPr>
        <w:t>探矿权出让合同对核减勘查区域面积有约定的，按照合同约定执行。</w:t>
      </w:r>
    </w:p>
    <w:p w14:paraId="2E1E521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（十七）【探矿权保留】符合保留条件的探矿权，</w:t>
      </w:r>
      <w:r>
        <w:rPr>
          <w:rFonts w:hint="eastAsia"/>
          <w:color w:val="auto"/>
          <w:lang w:eastAsia="zh-CN"/>
        </w:rPr>
        <w:t>自然资源主管部门</w:t>
      </w:r>
      <w:r>
        <w:rPr>
          <w:rFonts w:hint="eastAsia"/>
          <w:color w:val="auto"/>
        </w:rPr>
        <w:t>将保留原因、生效日期等信息在矿业权登记簿、不动产权证书（探矿权）备注栏上予以注记。探矿权保留期间，探矿权期限中止计算。</w:t>
      </w:r>
    </w:p>
    <w:p w14:paraId="1702A786">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保留情形消除的，探矿权人应当在6个月内申请解除保留。登记机关应将解除日期、探矿权期限等信息在矿业权登记簿、不动产权证书（探矿权）备注栏上予以注记。探矿权人应当每年</w:t>
      </w:r>
      <w:r>
        <w:rPr>
          <w:rFonts w:hint="eastAsia"/>
          <w:color w:val="auto"/>
          <w:lang w:eastAsia="zh-CN"/>
        </w:rPr>
        <w:t>向自然资源主管部门</w:t>
      </w:r>
      <w:r>
        <w:rPr>
          <w:rFonts w:hint="eastAsia"/>
          <w:color w:val="auto"/>
        </w:rPr>
        <w:t>报告保留情形消除情况。</w:t>
      </w:r>
    </w:p>
    <w:p w14:paraId="6C129D4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《矿产资源法》</w:t>
      </w:r>
      <w:r>
        <w:rPr>
          <w:rFonts w:hint="default"/>
          <w:color w:val="000000"/>
        </w:rPr>
        <w:t>施行前己</w:t>
      </w:r>
      <w:r>
        <w:rPr>
          <w:rFonts w:hint="eastAsia"/>
          <w:color w:val="auto"/>
        </w:rPr>
        <w:t>办理保留的勘查许可证，需要申请续期的，按照探矿权续期办理。</w:t>
      </w:r>
    </w:p>
    <w:p w14:paraId="0A5CFF29">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十八</w:t>
      </w:r>
      <w:r>
        <w:rPr>
          <w:rFonts w:hint="eastAsia"/>
          <w:color w:val="auto"/>
        </w:rPr>
        <w:t>）【</w:t>
      </w:r>
      <w:r>
        <w:rPr>
          <w:rFonts w:hint="eastAsia"/>
          <w:color w:val="auto"/>
          <w:lang w:eastAsia="zh-CN"/>
        </w:rPr>
        <w:t>非油气</w:t>
      </w:r>
      <w:r>
        <w:rPr>
          <w:rFonts w:hint="eastAsia"/>
          <w:color w:val="auto"/>
        </w:rPr>
        <w:t>综合勘查】</w:t>
      </w:r>
      <w:r>
        <w:rPr>
          <w:rFonts w:hint="eastAsia"/>
          <w:color w:val="auto"/>
          <w:lang w:eastAsia="zh-CN"/>
        </w:rPr>
        <w:t>非油气</w:t>
      </w:r>
      <w:r>
        <w:rPr>
          <w:rFonts w:hint="eastAsia"/>
          <w:color w:val="auto"/>
        </w:rPr>
        <w:t>探矿权人对勘查区域内的矿产资源（除砂石黏土等矿产以外）开展综合勘查、综合评价的，无须签订补充协议、</w:t>
      </w:r>
      <w:r>
        <w:rPr>
          <w:rFonts w:hint="eastAsia"/>
          <w:color w:val="auto"/>
          <w:lang w:eastAsia="zh-CN"/>
        </w:rPr>
        <w:t>申请</w:t>
      </w:r>
      <w:r>
        <w:rPr>
          <w:rFonts w:hint="eastAsia"/>
          <w:color w:val="auto"/>
        </w:rPr>
        <w:t>探矿权勘查矿种变更登记，按照实际发现矿种编制矿产资源储量报告。具备探矿权转采矿权条件的，矿业权人应向具有相应出让权限的自然资源主管部门申请探矿权转采矿权。</w:t>
      </w:r>
    </w:p>
    <w:p w14:paraId="7A61AFA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ascii="Times New Roman" w:hAnsi="Times New Roman" w:eastAsia="仿宋_GB2312" w:cs="Times New Roman"/>
          <w:color w:val="auto"/>
          <w:sz w:val="32"/>
          <w:szCs w:val="22"/>
          <w:lang w:val="en-US" w:eastAsia="zh-CN" w:bidi="ar-SA"/>
        </w:rPr>
        <w:t>（十</w:t>
      </w:r>
      <w:r>
        <w:rPr>
          <w:rFonts w:hint="eastAsia" w:cs="Times New Roman"/>
          <w:color w:val="auto"/>
          <w:sz w:val="32"/>
          <w:szCs w:val="22"/>
          <w:lang w:val="en-US" w:eastAsia="zh-CN" w:bidi="ar-SA"/>
        </w:rPr>
        <w:t>九</w:t>
      </w:r>
      <w:r>
        <w:rPr>
          <w:rFonts w:hint="eastAsia" w:ascii="Times New Roman" w:hAnsi="Times New Roman" w:eastAsia="仿宋_GB2312" w:cs="Times New Roman"/>
          <w:color w:val="auto"/>
          <w:sz w:val="32"/>
          <w:szCs w:val="22"/>
          <w:lang w:val="en-US" w:eastAsia="zh-CN" w:bidi="ar-SA"/>
        </w:rPr>
        <w:t>）【</w:t>
      </w:r>
      <w:r>
        <w:rPr>
          <w:rFonts w:hint="default" w:ascii="Times New Roman" w:hAnsi="Times New Roman" w:eastAsia="仿宋_GB2312" w:cs="Times New Roman"/>
          <w:color w:val="000000"/>
          <w:sz w:val="32"/>
          <w:szCs w:val="22"/>
          <w:lang w:bidi="ar-SA"/>
        </w:rPr>
        <w:t>兼探</w:t>
      </w:r>
      <w:r>
        <w:rPr>
          <w:rFonts w:hint="eastAsia" w:ascii="Times New Roman" w:hAnsi="Times New Roman" w:eastAsia="仿宋_GB2312" w:cs="Times New Roman"/>
          <w:color w:val="auto"/>
          <w:sz w:val="32"/>
          <w:szCs w:val="22"/>
          <w:lang w:val="en-US" w:eastAsia="zh-CN" w:bidi="ar-SA"/>
        </w:rPr>
        <w:t>例外情形】</w:t>
      </w:r>
      <w:r>
        <w:rPr>
          <w:rFonts w:hint="eastAsia"/>
          <w:color w:val="auto"/>
        </w:rPr>
        <w:t>同一勘查区域内，除油气探矿权人可以兼探铀矿、深层卤水矿物、氦气、二氧化碳气、硫化氢</w:t>
      </w:r>
      <w:r>
        <w:rPr>
          <w:rFonts w:hint="eastAsia"/>
          <w:color w:val="auto"/>
          <w:lang w:eastAsia="zh-CN"/>
        </w:rPr>
        <w:t>气</w:t>
      </w:r>
      <w:r>
        <w:rPr>
          <w:rFonts w:hint="eastAsia"/>
          <w:color w:val="auto"/>
        </w:rPr>
        <w:t>，煤炭探矿权人</w:t>
      </w:r>
      <w:r>
        <w:rPr>
          <w:rFonts w:hint="default"/>
          <w:color w:val="000000"/>
        </w:rPr>
        <w:t>兼探</w:t>
      </w:r>
      <w:r>
        <w:rPr>
          <w:rFonts w:hint="eastAsia"/>
          <w:color w:val="auto"/>
          <w:lang w:eastAsia="zh-CN"/>
        </w:rPr>
        <w:t>最低可采煤层以上的</w:t>
      </w:r>
      <w:r>
        <w:rPr>
          <w:rFonts w:hint="eastAsia"/>
          <w:color w:val="auto"/>
        </w:rPr>
        <w:t>煤层气外，油气探矿权人不得进行非油气矿产勘查，非油气探矿权人不得进行油气矿产勘查，非煤探矿权人不得进行煤炭资源勘查。</w:t>
      </w:r>
    </w:p>
    <w:p w14:paraId="10AB170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铀矿</w:t>
      </w:r>
      <w:r>
        <w:rPr>
          <w:rFonts w:hint="eastAsia"/>
          <w:color w:val="auto"/>
          <w:lang w:eastAsia="zh-CN"/>
        </w:rPr>
        <w:t>、稀土</w:t>
      </w:r>
      <w:r>
        <w:rPr>
          <w:rFonts w:hint="eastAsia"/>
          <w:color w:val="auto"/>
        </w:rPr>
        <w:t>探矿权人原则上不得申请变更勘查开采矿种，勘查发现其他矿产的，应当进行综合勘查</w:t>
      </w:r>
      <w:r>
        <w:rPr>
          <w:rFonts w:hint="eastAsia"/>
          <w:color w:val="auto"/>
          <w:lang w:eastAsia="zh-CN"/>
        </w:rPr>
        <w:t>评价</w:t>
      </w:r>
      <w:r>
        <w:rPr>
          <w:rFonts w:hint="eastAsia"/>
          <w:color w:val="auto"/>
        </w:rPr>
        <w:t>。涉及国家限制或者禁止勘查开采矿种的，依照相关规定管理。</w:t>
      </w:r>
    </w:p>
    <w:p w14:paraId="519F45C3">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color w:val="auto"/>
        </w:rPr>
        <w:t>（</w:t>
      </w:r>
      <w:r>
        <w:rPr>
          <w:rFonts w:hint="eastAsia"/>
          <w:color w:val="auto"/>
          <w:lang w:eastAsia="zh-CN"/>
        </w:rPr>
        <w:t>二十</w:t>
      </w:r>
      <w:r>
        <w:rPr>
          <w:rFonts w:hint="eastAsia"/>
          <w:color w:val="auto"/>
        </w:rPr>
        <w:t>）【设置采矿权的工作程度】设置采矿权的，应当依据经审核的矿产资源储量报告。资源储量规模为大型的非煤矿山、大中型煤矿应当达到勘探程度，其他矿山应当达到详查</w:t>
      </w:r>
      <w:r>
        <w:rPr>
          <w:rFonts w:hint="eastAsia"/>
          <w:color w:val="auto"/>
          <w:lang w:eastAsia="zh-CN"/>
        </w:rPr>
        <w:t>及</w:t>
      </w:r>
      <w:r>
        <w:rPr>
          <w:rFonts w:hint="eastAsia"/>
          <w:color w:val="auto"/>
        </w:rPr>
        <w:t>以上程度。油气矿产</w:t>
      </w:r>
      <w:r>
        <w:rPr>
          <w:rFonts w:hint="eastAsia"/>
          <w:color w:val="auto"/>
          <w:lang w:eastAsia="zh-CN"/>
        </w:rPr>
        <w:t>勘查</w:t>
      </w:r>
      <w:r>
        <w:rPr>
          <w:rFonts w:hint="eastAsia"/>
          <w:color w:val="auto"/>
        </w:rPr>
        <w:t>应当达到</w:t>
      </w:r>
      <w:r>
        <w:rPr>
          <w:rFonts w:hint="eastAsia"/>
          <w:color w:val="auto"/>
          <w:lang w:eastAsia="zh-CN"/>
        </w:rPr>
        <w:t>开发阶段</w:t>
      </w:r>
      <w:r>
        <w:rPr>
          <w:rFonts w:hint="eastAsia"/>
          <w:color w:val="auto"/>
        </w:rPr>
        <w:t>。</w:t>
      </w:r>
    </w:p>
    <w:p w14:paraId="1C65F2F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地热、矿泉水、砂石黏土等矿产设置采矿权的勘查程度要求，按照各省（区、市）有关规定执行。</w:t>
      </w:r>
    </w:p>
    <w:p w14:paraId="60998BA7">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（二十一）【采矿权矿种变化】开采主矿种变更的，采矿权人应当提交经审核的矿产资源储量报告</w:t>
      </w:r>
      <w:r>
        <w:rPr>
          <w:rFonts w:hint="eastAsia"/>
          <w:color w:val="auto"/>
          <w:lang w:eastAsia="zh-CN"/>
        </w:rPr>
        <w:t>和开采方案</w:t>
      </w:r>
      <w:r>
        <w:rPr>
          <w:rFonts w:hint="eastAsia"/>
          <w:color w:val="auto"/>
        </w:rPr>
        <w:t>，与</w:t>
      </w:r>
      <w:r>
        <w:rPr>
          <w:rFonts w:hint="eastAsia"/>
          <w:color w:val="auto"/>
          <w:lang w:eastAsia="zh-CN"/>
        </w:rPr>
        <w:t>自然资源主管部门</w:t>
      </w:r>
      <w:r>
        <w:rPr>
          <w:rFonts w:hint="eastAsia"/>
          <w:color w:val="auto"/>
        </w:rPr>
        <w:t>签订补充协议，办理采矿权变更登记。</w:t>
      </w:r>
    </w:p>
    <w:p w14:paraId="32E4A60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开采的共伴生矿种发生变化的，可依法综合利用，签订补充协议，办理采矿权变更登记，矿业权人应按照出让收益征收有关规定缴纳出让收益。</w:t>
      </w:r>
    </w:p>
    <w:p w14:paraId="4E3139DA">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开采国家实行开采总量控制矿种的，应当符合国家宏观调控和开采总量控制要求。</w:t>
      </w:r>
    </w:p>
    <w:p w14:paraId="042EB80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（二十二）【矿业权分立】非油气探矿权</w:t>
      </w:r>
      <w:r>
        <w:rPr>
          <w:rFonts w:hint="eastAsia"/>
          <w:color w:val="auto"/>
          <w:lang w:eastAsia="zh-CN"/>
        </w:rPr>
        <w:t>范围原则上应在完成全区勘查工作后</w:t>
      </w:r>
      <w:r>
        <w:rPr>
          <w:rFonts w:hint="eastAsia"/>
          <w:color w:val="auto"/>
        </w:rPr>
        <w:t>一次性申请转为采矿权。因</w:t>
      </w:r>
      <w:r>
        <w:rPr>
          <w:rFonts w:hint="eastAsia"/>
          <w:color w:val="auto"/>
          <w:lang w:eastAsia="zh-CN"/>
        </w:rPr>
        <w:t>不属于同一矿体、建设项目</w:t>
      </w:r>
      <w:r>
        <w:rPr>
          <w:rFonts w:hint="default"/>
          <w:color w:val="000000"/>
          <w:lang/>
        </w:rPr>
        <w:t>压覆</w:t>
      </w:r>
      <w:r>
        <w:rPr>
          <w:rFonts w:hint="eastAsia"/>
          <w:color w:val="auto"/>
        </w:rPr>
        <w:t>等特殊原因</w:t>
      </w:r>
      <w:r>
        <w:rPr>
          <w:rFonts w:hint="eastAsia"/>
          <w:color w:val="auto"/>
          <w:lang w:eastAsia="zh-CN"/>
        </w:rPr>
        <w:t>，探矿权</w:t>
      </w:r>
      <w:r>
        <w:rPr>
          <w:rFonts w:hint="eastAsia"/>
          <w:color w:val="auto"/>
        </w:rPr>
        <w:t>确需分立或确需分段转采矿权的，应符合矿产资源规划等相关规定。砂石黏土等矿产的采矿权不得分立、不允许变更开采</w:t>
      </w:r>
      <w:r>
        <w:rPr>
          <w:rFonts w:hint="eastAsia"/>
          <w:color w:val="auto"/>
          <w:lang w:eastAsia="zh-CN"/>
        </w:rPr>
        <w:t>主</w:t>
      </w:r>
      <w:r>
        <w:rPr>
          <w:rFonts w:hint="eastAsia"/>
          <w:color w:val="auto"/>
        </w:rPr>
        <w:t>矿种，其他矿产采矿权不允许变更</w:t>
      </w:r>
      <w:r>
        <w:rPr>
          <w:rFonts w:hint="eastAsia"/>
          <w:color w:val="auto"/>
          <w:lang w:eastAsia="zh-CN"/>
        </w:rPr>
        <w:t>为</w:t>
      </w:r>
      <w:r>
        <w:rPr>
          <w:rFonts w:hint="eastAsia"/>
          <w:color w:val="auto"/>
        </w:rPr>
        <w:t>砂石黏土等矿产。</w:t>
      </w:r>
    </w:p>
    <w:p w14:paraId="788A574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（二十</w:t>
      </w:r>
      <w:r>
        <w:rPr>
          <w:rFonts w:hint="eastAsia"/>
          <w:color w:val="auto"/>
          <w:lang w:eastAsia="zh-CN"/>
        </w:rPr>
        <w:t>三</w:t>
      </w:r>
      <w:r>
        <w:rPr>
          <w:rFonts w:hint="eastAsia"/>
          <w:color w:val="auto"/>
        </w:rPr>
        <w:t>）【矿业权转让】矿业权转让的，受让人应当具备本通知规定的矿业权人条件，并承继该矿业权的权利、义务。</w:t>
      </w:r>
    </w:p>
    <w:p w14:paraId="13A53DF9">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国有地勘单位持有的探矿权转让的，应征得负有国有资产管理职责的上级主管部门同意。</w:t>
      </w:r>
    </w:p>
    <w:p w14:paraId="0CD4B97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转让的矿业权与其他矿业权重叠，且符合本通知规定可重叠情形的，受让人应当提交互不影响和权益保护协议或者不影响已设矿业权人权益承诺。属同一主体的不同矿业权范围重叠的，不得单独转让</w:t>
      </w:r>
      <w:r>
        <w:rPr>
          <w:rFonts w:hint="eastAsia"/>
          <w:color w:val="auto"/>
          <w:lang w:eastAsia="zh-CN"/>
        </w:rPr>
        <w:t>（油气与非油气重叠的除外）</w:t>
      </w:r>
      <w:r>
        <w:rPr>
          <w:rFonts w:hint="eastAsia"/>
          <w:color w:val="auto"/>
        </w:rPr>
        <w:t>。</w:t>
      </w:r>
    </w:p>
    <w:p w14:paraId="2866E0A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（二十</w:t>
      </w:r>
      <w:r>
        <w:rPr>
          <w:rFonts w:hint="eastAsia"/>
          <w:color w:val="auto"/>
          <w:lang w:eastAsia="zh-CN"/>
        </w:rPr>
        <w:t>四</w:t>
      </w:r>
      <w:r>
        <w:rPr>
          <w:rFonts w:hint="eastAsia"/>
          <w:color w:val="auto"/>
        </w:rPr>
        <w:t>）【矿业权注销】有下列情形之一的，矿业权人应当向</w:t>
      </w:r>
      <w:r>
        <w:rPr>
          <w:rFonts w:hint="default"/>
          <w:color w:val="auto"/>
          <w:lang w:val="en-US"/>
        </w:rPr>
        <w:t>自然资源主管部门</w:t>
      </w:r>
      <w:r>
        <w:rPr>
          <w:rFonts w:hint="eastAsia"/>
          <w:color w:val="auto"/>
        </w:rPr>
        <w:t>申请矿业权注销登记。</w:t>
      </w:r>
    </w:p>
    <w:p w14:paraId="324A896E">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1.矿业权有效期届满未申请续期或者依法不予续期导致矿业权消灭的；</w:t>
      </w:r>
    </w:p>
    <w:p w14:paraId="37E17B0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eastAsia"/>
          <w:color w:val="auto"/>
        </w:rPr>
        <w:t>2.矿业权出让部门依法收回矿业权的</w:t>
      </w:r>
      <w:r>
        <w:rPr>
          <w:rFonts w:hint="eastAsia"/>
          <w:color w:val="auto"/>
          <w:lang w:eastAsia="zh-CN"/>
        </w:rPr>
        <w:t>（《矿产资源法》第七十条规定的情形除外）</w:t>
      </w:r>
      <w:r>
        <w:rPr>
          <w:rFonts w:hint="eastAsia"/>
          <w:color w:val="auto"/>
        </w:rPr>
        <w:t>；</w:t>
      </w:r>
    </w:p>
    <w:p w14:paraId="2E1E8BC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3.矿业权出让合同解除的；</w:t>
      </w:r>
    </w:p>
    <w:p w14:paraId="6CD71B36">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4.法律、行政法规规定的其他应当注销矿业权的情形。</w:t>
      </w:r>
    </w:p>
    <w:p w14:paraId="66484E6B">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矿业权人未按</w:t>
      </w:r>
      <w:r>
        <w:rPr>
          <w:rFonts w:hint="eastAsia"/>
          <w:color w:val="auto"/>
          <w:lang w:eastAsia="zh-CN"/>
        </w:rPr>
        <w:t>规定</w:t>
      </w:r>
      <w:r>
        <w:rPr>
          <w:rFonts w:hint="eastAsia"/>
          <w:color w:val="auto"/>
        </w:rPr>
        <w:t>申请办理注销登记超过30日的，</w:t>
      </w:r>
      <w:r>
        <w:rPr>
          <w:rFonts w:hint="default"/>
          <w:color w:val="auto"/>
          <w:lang w:val="en-US"/>
        </w:rPr>
        <w:t>自然资源主管部门</w:t>
      </w:r>
      <w:r>
        <w:rPr>
          <w:rFonts w:hint="eastAsia"/>
          <w:color w:val="auto"/>
          <w:lang w:eastAsia="zh-CN"/>
        </w:rPr>
        <w:t>应当依职权</w:t>
      </w:r>
      <w:r>
        <w:rPr>
          <w:rFonts w:hint="eastAsia"/>
          <w:color w:val="auto"/>
        </w:rPr>
        <w:t>予以注销</w:t>
      </w:r>
      <w:r>
        <w:rPr>
          <w:rFonts w:hint="eastAsia"/>
          <w:color w:val="auto"/>
          <w:lang w:eastAsia="zh-CN"/>
        </w:rPr>
        <w:t>，注销前应公告不少于</w:t>
      </w:r>
      <w:r>
        <w:rPr>
          <w:rFonts w:hint="eastAsia"/>
          <w:color w:val="auto"/>
          <w:lang w:val="en-US" w:eastAsia="zh-CN"/>
        </w:rPr>
        <w:t>30日</w:t>
      </w:r>
      <w:r>
        <w:rPr>
          <w:rFonts w:hint="eastAsia"/>
          <w:color w:val="auto"/>
        </w:rPr>
        <w:t>。</w:t>
      </w:r>
    </w:p>
    <w:p w14:paraId="2DAD3D8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lang w:eastAsia="zh-CN"/>
        </w:rPr>
      </w:pPr>
      <w:r>
        <w:rPr>
          <w:rFonts w:hint="eastAsia"/>
          <w:color w:val="auto"/>
        </w:rPr>
        <w:t>（二十</w:t>
      </w:r>
      <w:r>
        <w:rPr>
          <w:rFonts w:hint="eastAsia"/>
          <w:color w:val="auto"/>
          <w:lang w:eastAsia="zh-CN"/>
        </w:rPr>
        <w:t>五</w:t>
      </w:r>
      <w:r>
        <w:rPr>
          <w:rFonts w:hint="eastAsia"/>
          <w:color w:val="auto"/>
        </w:rPr>
        <w:t>）【矿业权重叠处置】新设矿业权范围不得与已设矿业权平面垂直投影范围重叠，但申请人与已设矿业权人为同一主体</w:t>
      </w:r>
      <w:r>
        <w:rPr>
          <w:rFonts w:hint="eastAsia"/>
          <w:color w:val="auto"/>
          <w:lang w:eastAsia="zh-CN"/>
        </w:rPr>
        <w:t>的、符合签订协议或提交承诺的</w:t>
      </w:r>
      <w:r>
        <w:rPr>
          <w:rFonts w:hint="eastAsia"/>
          <w:color w:val="auto"/>
        </w:rPr>
        <w:t>情形除外</w:t>
      </w:r>
      <w:r>
        <w:rPr>
          <w:rFonts w:hint="eastAsia"/>
          <w:color w:val="auto"/>
          <w:lang w:eastAsia="zh-CN"/>
        </w:rPr>
        <w:t>。</w:t>
      </w:r>
    </w:p>
    <w:p w14:paraId="097EC02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各级自然资源主管部门应当根据工作需要，建立油气矿业权人、非油气矿业权人、自然资源主管部门三方工作协调机制，定期对涉及重叠相关问题进行交流沟通，妥善解决有关问题。</w:t>
      </w:r>
    </w:p>
    <w:p w14:paraId="7F4355E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lang w:eastAsia="zh-CN"/>
        </w:rPr>
      </w:pPr>
      <w:r>
        <w:rPr>
          <w:rFonts w:hint="eastAsia"/>
          <w:color w:val="auto"/>
        </w:rPr>
        <w:t>（二十</w:t>
      </w:r>
      <w:r>
        <w:rPr>
          <w:rFonts w:hint="eastAsia"/>
          <w:color w:val="auto"/>
          <w:lang w:eastAsia="zh-CN"/>
        </w:rPr>
        <w:t>六</w:t>
      </w:r>
      <w:r>
        <w:rPr>
          <w:rFonts w:hint="eastAsia"/>
          <w:color w:val="auto"/>
        </w:rPr>
        <w:t>）【矿业权重叠</w:t>
      </w:r>
      <w:r>
        <w:rPr>
          <w:rFonts w:hint="eastAsia"/>
          <w:color w:val="auto"/>
          <w:lang w:eastAsia="zh-CN"/>
        </w:rPr>
        <w:t>需签订协议的情形</w:t>
      </w:r>
      <w:r>
        <w:rPr>
          <w:rFonts w:hint="eastAsia"/>
          <w:color w:val="auto"/>
        </w:rPr>
        <w:t>】矿业权重叠双方</w:t>
      </w:r>
      <w:r>
        <w:rPr>
          <w:rFonts w:hint="eastAsia"/>
          <w:color w:val="auto"/>
          <w:lang w:eastAsia="zh-CN"/>
        </w:rPr>
        <w:t>签订互不影响</w:t>
      </w:r>
      <w:r>
        <w:rPr>
          <w:rFonts w:hint="eastAsia"/>
          <w:color w:val="auto"/>
        </w:rPr>
        <w:t>和权益保护协议的</w:t>
      </w:r>
      <w:r>
        <w:rPr>
          <w:rFonts w:hint="eastAsia"/>
          <w:color w:val="auto"/>
          <w:lang w:eastAsia="zh-CN"/>
        </w:rPr>
        <w:t>情形：</w:t>
      </w:r>
    </w:p>
    <w:p w14:paraId="75C74F9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val="en-US" w:eastAsia="zh-CN"/>
        </w:rPr>
        <w:t>1</w:t>
      </w:r>
      <w:r>
        <w:rPr>
          <w:rFonts w:hint="eastAsia"/>
          <w:color w:val="auto"/>
        </w:rPr>
        <w:t>.油气与非油气之间，申请范围与已设采矿权范围重叠的</w:t>
      </w:r>
      <w:r>
        <w:rPr>
          <w:rFonts w:hint="eastAsia"/>
          <w:color w:val="auto"/>
          <w:lang w:eastAsia="zh-CN"/>
        </w:rPr>
        <w:t>、</w:t>
      </w:r>
      <w:r>
        <w:rPr>
          <w:rFonts w:hint="eastAsia"/>
          <w:color w:val="auto"/>
        </w:rPr>
        <w:t>新设采矿权申请范围与已设矿业权重叠的；</w:t>
      </w:r>
    </w:p>
    <w:p w14:paraId="6493465E">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val="en-US" w:eastAsia="zh-CN"/>
        </w:rPr>
        <w:t>2</w:t>
      </w:r>
      <w:r>
        <w:rPr>
          <w:rFonts w:hint="eastAsia"/>
          <w:color w:val="auto"/>
        </w:rPr>
        <w:t>.可地浸砂岩型铀矿矿业权申请范围与已设煤炭矿业权范围重叠的</w:t>
      </w:r>
      <w:r>
        <w:rPr>
          <w:rFonts w:hint="eastAsia"/>
          <w:color w:val="auto"/>
          <w:lang w:eastAsia="zh-CN"/>
        </w:rPr>
        <w:t>。</w:t>
      </w:r>
    </w:p>
    <w:p w14:paraId="5C85734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矿业权人签订的互不影响和权益保护协议不得损害国家利益和第三方合法权益。</w:t>
      </w:r>
    </w:p>
    <w:p w14:paraId="6326094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（二十</w:t>
      </w:r>
      <w:r>
        <w:rPr>
          <w:rFonts w:hint="eastAsia"/>
          <w:color w:val="auto"/>
          <w:lang w:eastAsia="zh-CN"/>
        </w:rPr>
        <w:t>七</w:t>
      </w:r>
      <w:r>
        <w:rPr>
          <w:rFonts w:hint="eastAsia"/>
          <w:color w:val="auto"/>
        </w:rPr>
        <w:t>）【矿业权重叠</w:t>
      </w:r>
      <w:r>
        <w:rPr>
          <w:rFonts w:hint="eastAsia"/>
          <w:color w:val="auto"/>
          <w:lang w:eastAsia="zh-CN"/>
        </w:rPr>
        <w:t>需提交承诺的情形</w:t>
      </w:r>
      <w:r>
        <w:rPr>
          <w:rFonts w:hint="eastAsia"/>
          <w:color w:val="auto"/>
        </w:rPr>
        <w:t>】申请人向</w:t>
      </w:r>
      <w:r>
        <w:rPr>
          <w:rFonts w:hint="default"/>
          <w:color w:val="auto"/>
          <w:lang w:val="en-US"/>
        </w:rPr>
        <w:t>自然资源主管部门</w:t>
      </w:r>
      <w:r>
        <w:rPr>
          <w:rFonts w:hint="eastAsia"/>
          <w:color w:val="auto"/>
        </w:rPr>
        <w:t>提交不影响已设</w:t>
      </w:r>
      <w:r>
        <w:rPr>
          <w:rFonts w:hint="eastAsia"/>
          <w:color w:val="auto"/>
          <w:lang w:eastAsia="zh-CN"/>
        </w:rPr>
        <w:t>矿业</w:t>
      </w:r>
      <w:r>
        <w:rPr>
          <w:rFonts w:hint="eastAsia"/>
          <w:color w:val="auto"/>
        </w:rPr>
        <w:t>权人权益承诺的</w:t>
      </w:r>
      <w:r>
        <w:rPr>
          <w:rFonts w:hint="eastAsia"/>
          <w:color w:val="auto"/>
          <w:lang w:eastAsia="zh-CN"/>
        </w:rPr>
        <w:t>情形：</w:t>
      </w:r>
    </w:p>
    <w:p w14:paraId="13F0617E">
      <w:pPr>
        <w:keepNext w:val="0"/>
        <w:keepLines w:val="0"/>
        <w:pageBreakBefore w:val="0"/>
        <w:widowControl w:val="0"/>
        <w:numPr>
          <w:ilvl w:val="0"/>
          <w:numId w:val="0"/>
        </w:numPr>
        <w:kinsoku/>
        <w:overflowPunct/>
        <w:topLinePunct w:val="0"/>
        <w:autoSpaceDE/>
        <w:autoSpaceDN/>
        <w:bidi w:val="0"/>
        <w:adjustRightInd/>
        <w:snapToGrid/>
        <w:spacing w:line="580" w:lineRule="exact"/>
        <w:ind w:left="0" w:leftChars="0" w:right="0" w:firstLine="640" w:firstLineChars="200"/>
        <w:textAlignment w:val="auto"/>
        <w:rPr>
          <w:rFonts w:hint="eastAsia"/>
          <w:color w:val="auto"/>
        </w:rPr>
      </w:pPr>
      <w:r>
        <w:rPr>
          <w:rFonts w:hint="eastAsia"/>
          <w:color w:val="auto"/>
          <w:lang w:val="en-US" w:eastAsia="zh-CN"/>
        </w:rPr>
        <w:t>1.</w:t>
      </w:r>
      <w:r>
        <w:rPr>
          <w:rFonts w:hint="eastAsia"/>
          <w:color w:val="auto"/>
        </w:rPr>
        <w:t>油气与非油气之间，</w:t>
      </w:r>
      <w:r>
        <w:rPr>
          <w:rFonts w:hint="eastAsia"/>
          <w:color w:val="auto"/>
          <w:lang w:eastAsia="zh-CN"/>
        </w:rPr>
        <w:t>新设</w:t>
      </w:r>
      <w:r>
        <w:rPr>
          <w:rFonts w:hint="eastAsia"/>
          <w:color w:val="auto"/>
        </w:rPr>
        <w:t>探矿权申请范围与已设探矿权</w:t>
      </w:r>
      <w:r>
        <w:rPr>
          <w:rFonts w:hint="eastAsia"/>
          <w:color w:val="auto"/>
          <w:lang w:eastAsia="zh-CN"/>
        </w:rPr>
        <w:t>范围</w:t>
      </w:r>
      <w:r>
        <w:rPr>
          <w:rFonts w:hint="eastAsia"/>
          <w:color w:val="auto"/>
        </w:rPr>
        <w:t>重叠</w:t>
      </w:r>
      <w:r>
        <w:rPr>
          <w:rFonts w:hint="eastAsia"/>
          <w:color w:val="auto"/>
          <w:lang w:eastAsia="zh-CN"/>
        </w:rPr>
        <w:t>的</w:t>
      </w:r>
      <w:r>
        <w:rPr>
          <w:rFonts w:hint="eastAsia"/>
          <w:color w:val="auto"/>
        </w:rPr>
        <w:t>；</w:t>
      </w:r>
    </w:p>
    <w:p w14:paraId="75859AEC">
      <w:pPr>
        <w:keepNext w:val="0"/>
        <w:keepLines w:val="0"/>
        <w:pageBreakBefore w:val="0"/>
        <w:widowControl w:val="0"/>
        <w:numPr>
          <w:ilvl w:val="0"/>
          <w:numId w:val="0"/>
        </w:numPr>
        <w:kinsoku/>
        <w:overflowPunct/>
        <w:topLinePunct w:val="0"/>
        <w:autoSpaceDE/>
        <w:autoSpaceDN/>
        <w:bidi w:val="0"/>
        <w:adjustRightInd/>
        <w:snapToGrid/>
        <w:spacing w:line="580" w:lineRule="exact"/>
        <w:ind w:left="0" w:leftChars="0" w:right="0" w:firstLine="640" w:firstLineChars="200"/>
        <w:textAlignment w:val="auto"/>
        <w:rPr>
          <w:color w:val="auto"/>
        </w:rPr>
      </w:pPr>
      <w:r>
        <w:rPr>
          <w:rFonts w:hint="eastAsia"/>
          <w:color w:val="auto"/>
          <w:lang w:val="en-US" w:eastAsia="zh-CN"/>
        </w:rPr>
        <w:t>2.</w:t>
      </w:r>
      <w:r>
        <w:rPr>
          <w:rFonts w:hint="eastAsia"/>
          <w:color w:val="auto"/>
        </w:rPr>
        <w:t>新设油气矿</w:t>
      </w:r>
      <w:r>
        <w:rPr>
          <w:rFonts w:hint="eastAsia"/>
          <w:color w:val="auto"/>
          <w:lang w:eastAsia="zh-CN"/>
        </w:rPr>
        <w:t>业</w:t>
      </w:r>
      <w:r>
        <w:rPr>
          <w:rFonts w:hint="eastAsia"/>
          <w:color w:val="auto"/>
        </w:rPr>
        <w:t>权申请范围与</w:t>
      </w:r>
      <w:r>
        <w:rPr>
          <w:rFonts w:hint="eastAsia"/>
          <w:color w:val="auto"/>
          <w:lang w:eastAsia="zh-CN"/>
        </w:rPr>
        <w:t>已设</w:t>
      </w:r>
      <w:r>
        <w:rPr>
          <w:rFonts w:hint="eastAsia"/>
          <w:color w:val="auto"/>
        </w:rPr>
        <w:t>露天开采砂石黏土等矿产采矿权</w:t>
      </w:r>
      <w:r>
        <w:rPr>
          <w:rFonts w:hint="eastAsia"/>
          <w:color w:val="auto"/>
          <w:lang w:eastAsia="zh-CN"/>
        </w:rPr>
        <w:t>或</w:t>
      </w:r>
      <w:r>
        <w:rPr>
          <w:rFonts w:hint="eastAsia"/>
          <w:color w:val="auto"/>
        </w:rPr>
        <w:t>已被政府下达关闭决定的采矿权范围重叠</w:t>
      </w:r>
      <w:r>
        <w:rPr>
          <w:rFonts w:hint="eastAsia"/>
          <w:color w:val="auto"/>
          <w:lang w:eastAsia="zh-CN"/>
        </w:rPr>
        <w:t>的</w:t>
      </w:r>
      <w:r>
        <w:rPr>
          <w:rFonts w:hint="eastAsia"/>
          <w:color w:val="auto"/>
        </w:rPr>
        <w:t>；</w:t>
      </w:r>
    </w:p>
    <w:p w14:paraId="41E00B3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val="en-US" w:eastAsia="zh-CN"/>
        </w:rPr>
        <w:t>3.</w:t>
      </w:r>
      <w:r>
        <w:rPr>
          <w:rFonts w:hint="eastAsia"/>
          <w:color w:val="auto"/>
        </w:rPr>
        <w:t>新设露天开采砂石黏土等矿产采矿权</w:t>
      </w:r>
      <w:r>
        <w:rPr>
          <w:rFonts w:hint="eastAsia"/>
          <w:color w:val="auto"/>
          <w:lang w:eastAsia="zh-CN"/>
        </w:rPr>
        <w:t>申请范围</w:t>
      </w:r>
      <w:r>
        <w:rPr>
          <w:rFonts w:hint="eastAsia"/>
          <w:color w:val="auto"/>
        </w:rPr>
        <w:t>与已设油气矿业权</w:t>
      </w:r>
      <w:r>
        <w:rPr>
          <w:rFonts w:hint="eastAsia"/>
          <w:color w:val="auto"/>
          <w:lang w:eastAsia="zh-CN"/>
        </w:rPr>
        <w:t>范围</w:t>
      </w:r>
      <w:r>
        <w:rPr>
          <w:rFonts w:hint="eastAsia"/>
          <w:color w:val="auto"/>
        </w:rPr>
        <w:t>重叠</w:t>
      </w:r>
      <w:r>
        <w:rPr>
          <w:rFonts w:hint="eastAsia"/>
          <w:color w:val="auto"/>
          <w:lang w:eastAsia="zh-CN"/>
        </w:rPr>
        <w:t>的。</w:t>
      </w:r>
    </w:p>
    <w:p w14:paraId="46F9CFD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申请人应当承诺不影响已设矿业权勘查开采活动，确保安全生产、保护对方合法权益等；无法</w:t>
      </w:r>
      <w:r>
        <w:rPr>
          <w:rFonts w:hint="eastAsia"/>
          <w:color w:val="auto"/>
          <w:lang w:eastAsia="zh-CN"/>
        </w:rPr>
        <w:t>避免影响</w:t>
      </w:r>
      <w:r>
        <w:rPr>
          <w:rFonts w:hint="eastAsia"/>
          <w:color w:val="auto"/>
        </w:rPr>
        <w:t>的要主动退出，确保安全生产、保护对方合法权益。</w:t>
      </w:r>
    </w:p>
    <w:p w14:paraId="509DF018">
      <w:pPr>
        <w:keepNext w:val="0"/>
        <w:keepLines w:val="0"/>
        <w:pageBreakBefore w:val="0"/>
        <w:widowControl w:val="0"/>
        <w:kinsoku/>
        <w:wordWrap/>
        <w:overflowPunct/>
        <w:topLinePunct w:val="0"/>
        <w:autoSpaceDE/>
        <w:autoSpaceDN/>
        <w:bidi w:val="0"/>
        <w:adjustRightInd/>
        <w:snapToGrid/>
        <w:spacing w:line="580" w:lineRule="exact"/>
        <w:ind w:left="0" w:right="0"/>
        <w:textAlignment w:val="auto"/>
        <w:rPr>
          <w:rFonts w:hint="eastAsia" w:ascii="黑体" w:hAnsi="黑体" w:eastAsia="黑体" w:cs="黑体"/>
          <w:color w:val="auto"/>
        </w:rPr>
      </w:pPr>
      <w:r>
        <w:rPr>
          <w:rFonts w:hint="eastAsia" w:ascii="黑体" w:hAnsi="黑体" w:eastAsia="黑体" w:cs="黑体"/>
          <w:color w:val="auto"/>
          <w:lang w:eastAsia="zh-CN"/>
        </w:rPr>
        <w:t>四、</w:t>
      </w:r>
      <w:r>
        <w:rPr>
          <w:rFonts w:hint="eastAsia" w:ascii="黑体" w:hAnsi="黑体" w:eastAsia="黑体" w:cs="黑体"/>
          <w:color w:val="auto"/>
        </w:rPr>
        <w:t>矿产资源勘查方案、开采方案</w:t>
      </w:r>
      <w:r>
        <w:rPr>
          <w:rFonts w:hint="eastAsia" w:ascii="黑体" w:hAnsi="黑体" w:eastAsia="黑体" w:cs="黑体"/>
          <w:color w:val="auto"/>
          <w:lang w:eastAsia="zh-CN"/>
        </w:rPr>
        <w:t>及矿区生态修复方案</w:t>
      </w:r>
      <w:r>
        <w:rPr>
          <w:rFonts w:hint="eastAsia" w:ascii="黑体" w:hAnsi="黑体" w:eastAsia="黑体" w:cs="黑体"/>
          <w:color w:val="auto"/>
        </w:rPr>
        <w:t>管理</w:t>
      </w:r>
    </w:p>
    <w:p w14:paraId="592117D7">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（二十</w:t>
      </w:r>
      <w:r>
        <w:rPr>
          <w:rFonts w:hint="eastAsia"/>
          <w:color w:val="auto"/>
          <w:lang w:eastAsia="zh-CN"/>
        </w:rPr>
        <w:t>八</w:t>
      </w:r>
      <w:r>
        <w:rPr>
          <w:rFonts w:hint="eastAsia"/>
          <w:color w:val="auto"/>
        </w:rPr>
        <w:t>）【勘查方案编制情形】探矿权人</w:t>
      </w:r>
      <w:r>
        <w:rPr>
          <w:rFonts w:hint="eastAsia"/>
          <w:color w:val="auto"/>
          <w:lang w:eastAsia="zh-CN"/>
        </w:rPr>
        <w:t>申请勘查许可证，</w:t>
      </w:r>
      <w:r>
        <w:rPr>
          <w:rFonts w:hint="eastAsia"/>
          <w:color w:val="auto"/>
        </w:rPr>
        <w:t>应按规定编制勘查方案，报有权限的自然资源主管部门批准。</w:t>
      </w:r>
    </w:p>
    <w:p w14:paraId="0815EF6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eastAsia="zh-CN"/>
        </w:rPr>
        <w:t>探矿权缩小勘查区域不涉及实物工作量的，</w:t>
      </w:r>
      <w:r>
        <w:rPr>
          <w:rFonts w:hint="eastAsia"/>
          <w:bCs/>
          <w:color w:val="auto"/>
          <w:szCs w:val="32"/>
          <w:highlight w:val="none"/>
          <w:u w:val="none"/>
          <w:lang w:eastAsia="zh-CN"/>
        </w:rPr>
        <w:t>可不重新编制勘查方案。</w:t>
      </w:r>
    </w:p>
    <w:p w14:paraId="08C9273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strike w:val="0"/>
          <w:dstrike w:val="0"/>
          <w:color w:val="auto"/>
          <w:lang w:eastAsia="zh-CN"/>
        </w:rPr>
        <w:t>勘查工作需</w:t>
      </w:r>
      <w:r>
        <w:rPr>
          <w:rFonts w:hint="eastAsia"/>
          <w:color w:val="auto"/>
        </w:rPr>
        <w:t>新增钻探或坑探</w:t>
      </w:r>
      <w:r>
        <w:rPr>
          <w:rFonts w:hint="eastAsia"/>
          <w:color w:val="auto"/>
          <w:lang w:eastAsia="zh-CN"/>
        </w:rPr>
        <w:t>手段</w:t>
      </w:r>
      <w:r>
        <w:rPr>
          <w:rFonts w:hint="eastAsia"/>
          <w:color w:val="auto"/>
        </w:rPr>
        <w:t>的，</w:t>
      </w:r>
      <w:r>
        <w:rPr>
          <w:rFonts w:hint="eastAsia"/>
          <w:color w:val="auto"/>
          <w:lang w:eastAsia="zh-CN"/>
        </w:rPr>
        <w:t>探矿权人应</w:t>
      </w:r>
      <w:r>
        <w:rPr>
          <w:rFonts w:hint="eastAsia"/>
          <w:color w:val="auto"/>
          <w:highlight w:val="none"/>
          <w:lang w:eastAsia="zh-CN"/>
        </w:rPr>
        <w:t>重新</w:t>
      </w:r>
      <w:r>
        <w:rPr>
          <w:rFonts w:hint="eastAsia"/>
          <w:color w:val="auto"/>
          <w:highlight w:val="none"/>
        </w:rPr>
        <w:t>编制</w:t>
      </w:r>
      <w:r>
        <w:rPr>
          <w:rFonts w:hint="eastAsia"/>
          <w:color w:val="auto"/>
          <w:lang w:eastAsia="zh-CN"/>
        </w:rPr>
        <w:t>勘查方案</w:t>
      </w:r>
      <w:r>
        <w:rPr>
          <w:rFonts w:hint="eastAsia"/>
          <w:color w:val="auto"/>
        </w:rPr>
        <w:t>，报有权限的自然资源主管部门批准。</w:t>
      </w:r>
    </w:p>
    <w:p w14:paraId="766F42E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采矿权人在登记的开采区域深部、上部开展勘查涉及</w:t>
      </w:r>
      <w:r>
        <w:rPr>
          <w:rFonts w:hint="eastAsia"/>
          <w:color w:val="auto"/>
          <w:lang w:eastAsia="zh-CN"/>
        </w:rPr>
        <w:t>钻探、</w:t>
      </w:r>
      <w:r>
        <w:rPr>
          <w:rFonts w:hint="eastAsia"/>
          <w:color w:val="auto"/>
        </w:rPr>
        <w:t>坑探的，应编制勘查方案并提交批准。</w:t>
      </w:r>
    </w:p>
    <w:p w14:paraId="057EB19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w:t>
      </w:r>
      <w:r>
        <w:rPr>
          <w:rFonts w:hint="eastAsia"/>
          <w:color w:val="auto"/>
          <w:lang w:eastAsia="zh-CN"/>
        </w:rPr>
        <w:t>二十九</w:t>
      </w:r>
      <w:r>
        <w:rPr>
          <w:rFonts w:hint="eastAsia"/>
          <w:color w:val="auto"/>
        </w:rPr>
        <w:t>）【开采方案编制情形】采矿权人</w:t>
      </w:r>
      <w:r>
        <w:rPr>
          <w:rFonts w:hint="eastAsia"/>
          <w:color w:val="auto"/>
          <w:lang w:eastAsia="zh-CN"/>
        </w:rPr>
        <w:t>申请</w:t>
      </w:r>
      <w:r>
        <w:rPr>
          <w:rFonts w:hint="eastAsia"/>
          <w:strike w:val="0"/>
          <w:dstrike w:val="0"/>
          <w:color w:val="auto"/>
          <w:lang w:eastAsia="zh-CN"/>
        </w:rPr>
        <w:t>采矿</w:t>
      </w:r>
      <w:r>
        <w:rPr>
          <w:rFonts w:hint="eastAsia"/>
          <w:color w:val="auto"/>
          <w:lang w:eastAsia="zh-CN"/>
        </w:rPr>
        <w:t>许可证</w:t>
      </w:r>
      <w:r>
        <w:rPr>
          <w:rFonts w:hint="eastAsia"/>
          <w:color w:val="auto"/>
        </w:rPr>
        <w:t>，应按规定编制开采方案，报有权限的自然资源主管部门批准。</w:t>
      </w:r>
    </w:p>
    <w:p w14:paraId="5749A80A">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bCs/>
          <w:color w:val="auto"/>
          <w:szCs w:val="32"/>
          <w:highlight w:val="none"/>
          <w:u w:val="none"/>
          <w:lang w:eastAsia="zh-CN"/>
        </w:rPr>
      </w:pPr>
      <w:r>
        <w:rPr>
          <w:rFonts w:hint="eastAsia"/>
          <w:color w:val="auto"/>
        </w:rPr>
        <w:t>开采方式、采矿方法</w:t>
      </w:r>
      <w:r>
        <w:rPr>
          <w:rFonts w:hint="eastAsia"/>
          <w:color w:val="auto"/>
          <w:lang w:eastAsia="zh-CN"/>
        </w:rPr>
        <w:t>、开采区域</w:t>
      </w:r>
      <w:r>
        <w:rPr>
          <w:rFonts w:hint="eastAsia"/>
          <w:color w:val="auto"/>
        </w:rPr>
        <w:t>或开采矿种</w:t>
      </w:r>
      <w:r>
        <w:rPr>
          <w:rFonts w:hint="eastAsia"/>
          <w:color w:val="auto"/>
          <w:lang w:eastAsia="zh-CN"/>
        </w:rPr>
        <w:t>变更</w:t>
      </w:r>
      <w:r>
        <w:rPr>
          <w:rFonts w:hint="eastAsia"/>
          <w:color w:val="auto"/>
        </w:rPr>
        <w:t>的，</w:t>
      </w:r>
      <w:r>
        <w:rPr>
          <w:rFonts w:hint="eastAsia"/>
          <w:color w:val="auto"/>
          <w:lang w:eastAsia="zh-CN"/>
        </w:rPr>
        <w:t>采矿权人应</w:t>
      </w:r>
      <w:r>
        <w:rPr>
          <w:rFonts w:hint="eastAsia"/>
          <w:color w:val="auto"/>
          <w:highlight w:val="none"/>
          <w:lang w:eastAsia="zh-CN"/>
        </w:rPr>
        <w:t>重新</w:t>
      </w:r>
      <w:r>
        <w:rPr>
          <w:rFonts w:hint="eastAsia"/>
          <w:color w:val="auto"/>
          <w:highlight w:val="none"/>
        </w:rPr>
        <w:t>编制</w:t>
      </w:r>
      <w:r>
        <w:rPr>
          <w:rFonts w:hint="eastAsia"/>
          <w:color w:val="auto"/>
          <w:lang w:eastAsia="zh-CN"/>
        </w:rPr>
        <w:t>开采方案</w:t>
      </w:r>
      <w:r>
        <w:rPr>
          <w:rFonts w:hint="eastAsia"/>
          <w:color w:val="auto"/>
        </w:rPr>
        <w:t>，报有权限的自然资源主管部门批准</w:t>
      </w:r>
      <w:r>
        <w:rPr>
          <w:rFonts w:hint="eastAsia"/>
          <w:color w:val="auto"/>
          <w:lang w:eastAsia="zh-CN"/>
        </w:rPr>
        <w:t>后重新核发采矿许可证</w:t>
      </w:r>
      <w:r>
        <w:rPr>
          <w:rFonts w:hint="eastAsia"/>
          <w:color w:val="auto"/>
        </w:rPr>
        <w:t>。</w:t>
      </w:r>
      <w:r>
        <w:rPr>
          <w:rFonts w:hint="eastAsia"/>
          <w:bCs/>
          <w:color w:val="auto"/>
          <w:szCs w:val="32"/>
          <w:highlight w:val="none"/>
          <w:u w:val="none"/>
          <w:lang w:eastAsia="zh-CN"/>
        </w:rPr>
        <w:t>采矿权</w:t>
      </w:r>
      <w:r>
        <w:rPr>
          <w:rFonts w:hint="eastAsia" w:eastAsia="仿宋_GB2312"/>
          <w:bCs/>
          <w:color w:val="auto"/>
          <w:szCs w:val="32"/>
          <w:highlight w:val="none"/>
          <w:u w:val="none"/>
        </w:rPr>
        <w:t>缩小开采区域</w:t>
      </w:r>
      <w:r>
        <w:rPr>
          <w:rFonts w:hint="eastAsia"/>
          <w:bCs/>
          <w:color w:val="auto"/>
          <w:szCs w:val="32"/>
          <w:highlight w:val="none"/>
          <w:u w:val="none"/>
          <w:lang w:eastAsia="zh-CN"/>
        </w:rPr>
        <w:t>不</w:t>
      </w:r>
      <w:r>
        <w:rPr>
          <w:rFonts w:hint="eastAsia" w:eastAsia="仿宋_GB2312"/>
          <w:bCs/>
          <w:color w:val="auto"/>
          <w:szCs w:val="32"/>
          <w:highlight w:val="none"/>
          <w:u w:val="none"/>
        </w:rPr>
        <w:t>涉及资源储量或采矿工程</w:t>
      </w:r>
      <w:r>
        <w:rPr>
          <w:rFonts w:hint="eastAsia"/>
          <w:bCs/>
          <w:color w:val="auto"/>
          <w:szCs w:val="32"/>
          <w:highlight w:val="none"/>
          <w:u w:val="none"/>
          <w:lang w:eastAsia="zh-CN"/>
        </w:rPr>
        <w:t>的，可不重新编制开采方案。</w:t>
      </w:r>
    </w:p>
    <w:p w14:paraId="4E1D11CD">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lang w:eastAsia="zh-CN"/>
        </w:rPr>
      </w:pPr>
      <w:r>
        <w:rPr>
          <w:rFonts w:hint="eastAsia"/>
          <w:color w:val="auto"/>
          <w:lang w:eastAsia="zh-CN"/>
        </w:rPr>
        <w:t>（三十）【矿区生态修复方案编制情形】采矿权人申请</w:t>
      </w:r>
      <w:r>
        <w:rPr>
          <w:rFonts w:hint="eastAsia"/>
          <w:strike w:val="0"/>
          <w:dstrike w:val="0"/>
          <w:color w:val="auto"/>
          <w:lang w:eastAsia="zh-CN"/>
        </w:rPr>
        <w:t>采矿</w:t>
      </w:r>
      <w:r>
        <w:rPr>
          <w:rFonts w:hint="eastAsia"/>
          <w:color w:val="auto"/>
          <w:lang w:eastAsia="zh-CN"/>
        </w:rPr>
        <w:t>许可证，应按规定编制矿区生态修复方案，随开采方案报有权限的自然资源主管部门批准。经评审通过的方案，涉及用地（</w:t>
      </w:r>
      <w:r>
        <w:rPr>
          <w:rFonts w:hint="default"/>
          <w:color w:val="000000"/>
          <w:lang/>
        </w:rPr>
        <w:t>含</w:t>
      </w:r>
      <w:r>
        <w:rPr>
          <w:rFonts w:hint="eastAsia"/>
          <w:color w:val="auto"/>
          <w:lang w:eastAsia="zh-CN"/>
        </w:rPr>
        <w:t>用</w:t>
      </w:r>
      <w:r>
        <w:rPr>
          <w:rFonts w:hint="default"/>
          <w:color w:val="000000"/>
          <w:lang/>
        </w:rPr>
        <w:t>林</w:t>
      </w:r>
      <w:r>
        <w:rPr>
          <w:rFonts w:hint="eastAsia"/>
          <w:color w:val="auto"/>
          <w:lang w:eastAsia="zh-CN"/>
        </w:rPr>
        <w:t>用</w:t>
      </w:r>
      <w:r>
        <w:rPr>
          <w:rFonts w:hint="default"/>
          <w:color w:val="000000"/>
          <w:lang/>
        </w:rPr>
        <w:t>草</w:t>
      </w:r>
      <w:r>
        <w:rPr>
          <w:rFonts w:hint="eastAsia"/>
          <w:color w:val="auto"/>
          <w:lang w:eastAsia="zh-CN"/>
        </w:rPr>
        <w:t>）范围、使用期限、损毁类型等发生变化的，采矿权人应当于取得相关用地（用</w:t>
      </w:r>
      <w:r>
        <w:rPr>
          <w:rFonts w:hint="default"/>
          <w:color w:val="000000"/>
          <w:lang/>
        </w:rPr>
        <w:t>林</w:t>
      </w:r>
      <w:r>
        <w:rPr>
          <w:rFonts w:hint="eastAsia"/>
          <w:color w:val="auto"/>
          <w:lang w:eastAsia="zh-CN"/>
        </w:rPr>
        <w:t>用</w:t>
      </w:r>
      <w:r>
        <w:rPr>
          <w:rFonts w:hint="default"/>
          <w:color w:val="000000"/>
          <w:lang/>
        </w:rPr>
        <w:t>草</w:t>
      </w:r>
      <w:r>
        <w:rPr>
          <w:rFonts w:hint="eastAsia"/>
          <w:color w:val="auto"/>
          <w:lang w:eastAsia="zh-CN"/>
        </w:rPr>
        <w:t>）批准文件之日起6个月内，将修编后的方案报有相应采矿权登记权限的自然资源主管部门备案。涉及开采方式或开采的主矿种变更的，采矿权人应当重新编制矿区生态修复方案并报有权限的自然资源主管部门批准。</w:t>
      </w:r>
    </w:p>
    <w:p w14:paraId="6DDD7E4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三</w:t>
      </w:r>
      <w:r>
        <w:rPr>
          <w:rFonts w:hint="eastAsia"/>
          <w:color w:val="auto"/>
        </w:rPr>
        <w:t>十</w:t>
      </w:r>
      <w:r>
        <w:rPr>
          <w:rFonts w:hint="eastAsia"/>
          <w:color w:val="auto"/>
          <w:lang w:eastAsia="zh-CN"/>
        </w:rPr>
        <w:t>一</w:t>
      </w:r>
      <w:r>
        <w:rPr>
          <w:rFonts w:hint="eastAsia"/>
          <w:color w:val="auto"/>
        </w:rPr>
        <w:t>）【方案编制单位】矿业权人可自行编制或者委托有关机构编制勘查方案、开采方案</w:t>
      </w:r>
      <w:r>
        <w:rPr>
          <w:rFonts w:hint="eastAsia"/>
          <w:color w:val="auto"/>
          <w:lang w:eastAsia="zh-CN"/>
        </w:rPr>
        <w:t>、矿区生态修复方案</w:t>
      </w:r>
      <w:r>
        <w:rPr>
          <w:rFonts w:hint="eastAsia"/>
          <w:color w:val="auto"/>
        </w:rPr>
        <w:t>，管理机关不得指定特定中介机构或个人提供服务。矿业权人对勘查方案、开采方案</w:t>
      </w:r>
      <w:r>
        <w:rPr>
          <w:rFonts w:hint="eastAsia"/>
          <w:color w:val="auto"/>
          <w:lang w:eastAsia="zh-CN"/>
        </w:rPr>
        <w:t>、矿区生态修复方案</w:t>
      </w:r>
      <w:r>
        <w:rPr>
          <w:rFonts w:hint="eastAsia"/>
          <w:color w:val="auto"/>
        </w:rPr>
        <w:t>的真实性负责。</w:t>
      </w:r>
    </w:p>
    <w:p w14:paraId="132C711E">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三</w:t>
      </w:r>
      <w:r>
        <w:rPr>
          <w:rFonts w:hint="eastAsia"/>
          <w:color w:val="auto"/>
        </w:rPr>
        <w:t>十</w:t>
      </w:r>
      <w:r>
        <w:rPr>
          <w:rFonts w:hint="eastAsia"/>
          <w:color w:val="auto"/>
          <w:lang w:val="en-US" w:eastAsia="zh-CN"/>
        </w:rPr>
        <w:t>二</w:t>
      </w:r>
      <w:r>
        <w:rPr>
          <w:rFonts w:hint="eastAsia"/>
          <w:color w:val="auto"/>
        </w:rPr>
        <w:t>）【方案评审】勘查方案、开采方案</w:t>
      </w:r>
      <w:r>
        <w:rPr>
          <w:rFonts w:hint="eastAsia"/>
          <w:color w:val="auto"/>
          <w:lang w:eastAsia="zh-CN"/>
        </w:rPr>
        <w:t>、矿区生态修复方案</w:t>
      </w:r>
      <w:r>
        <w:rPr>
          <w:rFonts w:hint="eastAsia"/>
          <w:color w:val="auto"/>
        </w:rPr>
        <w:t>由具有相应矿业权出让权限的自然资源主管部门组织或委托有关单位组织专家评审。评审时间不得超过10个工作日，评审过程中</w:t>
      </w:r>
      <w:r>
        <w:rPr>
          <w:rFonts w:hint="eastAsia"/>
          <w:color w:val="auto"/>
          <w:lang w:eastAsia="zh-CN"/>
        </w:rPr>
        <w:t>现场踏勘、</w:t>
      </w:r>
      <w:r>
        <w:rPr>
          <w:rFonts w:hint="eastAsia"/>
          <w:color w:val="auto"/>
        </w:rPr>
        <w:t>方案修改及复核等所需时间不计入时限。矿业权人可在申请勘查许可、采矿许可前申请勘查方案、开采方案</w:t>
      </w:r>
      <w:r>
        <w:rPr>
          <w:rFonts w:hint="eastAsia"/>
          <w:color w:val="auto"/>
          <w:lang w:eastAsia="zh-CN"/>
        </w:rPr>
        <w:t>、矿区生态修复方案</w:t>
      </w:r>
      <w:r>
        <w:rPr>
          <w:rFonts w:hint="eastAsia"/>
          <w:color w:val="auto"/>
        </w:rPr>
        <w:t>评审，自然资源主管部门应当予以评审。</w:t>
      </w:r>
    </w:p>
    <w:p w14:paraId="26A096C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三</w:t>
      </w:r>
      <w:r>
        <w:rPr>
          <w:rFonts w:hint="eastAsia"/>
          <w:color w:val="auto"/>
        </w:rPr>
        <w:t>十</w:t>
      </w:r>
      <w:r>
        <w:rPr>
          <w:rFonts w:hint="eastAsia"/>
          <w:color w:val="auto"/>
          <w:lang w:eastAsia="zh-CN"/>
        </w:rPr>
        <w:t>三</w:t>
      </w:r>
      <w:r>
        <w:rPr>
          <w:rFonts w:hint="eastAsia"/>
          <w:color w:val="auto"/>
        </w:rPr>
        <w:t>）【方案评审工作要求】自然资源主管部门要加强对勘查方案、开采方案</w:t>
      </w:r>
      <w:r>
        <w:rPr>
          <w:rFonts w:hint="eastAsia"/>
          <w:color w:val="auto"/>
          <w:lang w:eastAsia="zh-CN"/>
        </w:rPr>
        <w:t>、矿区生态修复方案</w:t>
      </w:r>
      <w:r>
        <w:rPr>
          <w:rFonts w:hint="eastAsia"/>
          <w:color w:val="auto"/>
        </w:rPr>
        <w:t>评审工作的管理。评审单位应明确评审程序、评审制度、评审人员及专业等，聚焦勘查工作合法合规部署、开采区域科学合理设置、资源合理开采和节约集约利用</w:t>
      </w:r>
      <w:r>
        <w:rPr>
          <w:rFonts w:hint="eastAsia"/>
          <w:color w:val="auto"/>
          <w:lang w:eastAsia="zh-CN"/>
        </w:rPr>
        <w:t>、</w:t>
      </w:r>
      <w:r>
        <w:rPr>
          <w:rFonts w:hint="eastAsia"/>
          <w:color w:val="auto"/>
          <w:highlight w:val="none"/>
          <w:lang w:eastAsia="zh-CN"/>
        </w:rPr>
        <w:t>矿区生态修复科学合理可行</w:t>
      </w:r>
      <w:r>
        <w:rPr>
          <w:rFonts w:hint="eastAsia"/>
          <w:color w:val="auto"/>
        </w:rPr>
        <w:t>等方面，严把评审质量，提高评审效率。</w:t>
      </w:r>
    </w:p>
    <w:p w14:paraId="6995E59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省级自然资源主管部门可根据本通知要求，结合实际进一步细化非油气勘查方案、开采方案</w:t>
      </w:r>
      <w:r>
        <w:rPr>
          <w:rFonts w:hint="eastAsia"/>
          <w:color w:val="auto"/>
          <w:lang w:eastAsia="zh-CN"/>
        </w:rPr>
        <w:t>、矿区生态修复方案</w:t>
      </w:r>
      <w:r>
        <w:rPr>
          <w:rFonts w:hint="eastAsia"/>
          <w:color w:val="auto"/>
        </w:rPr>
        <w:t>编制和评审要求。</w:t>
      </w:r>
    </w:p>
    <w:p w14:paraId="4C42A3B3">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right="0" w:firstLine="640" w:firstLineChars="200"/>
        <w:textAlignment w:val="auto"/>
        <w:rPr>
          <w:rFonts w:hint="eastAsia" w:ascii="黑体" w:hAnsi="黑体" w:cs="黑体"/>
          <w:bCs w:val="0"/>
          <w:color w:val="auto"/>
          <w:kern w:val="2"/>
          <w:szCs w:val="22"/>
        </w:rPr>
      </w:pPr>
      <w:r>
        <w:rPr>
          <w:rFonts w:hint="eastAsia" w:ascii="黑体" w:hAnsi="黑体" w:cs="黑体"/>
          <w:bCs w:val="0"/>
          <w:color w:val="auto"/>
          <w:kern w:val="2"/>
          <w:szCs w:val="22"/>
          <w:lang w:eastAsia="zh-CN"/>
        </w:rPr>
        <w:t>五、</w:t>
      </w:r>
      <w:r>
        <w:rPr>
          <w:rFonts w:hint="eastAsia" w:ascii="黑体" w:hAnsi="黑体" w:cs="黑体"/>
          <w:bCs w:val="0"/>
          <w:color w:val="auto"/>
          <w:kern w:val="2"/>
          <w:szCs w:val="22"/>
        </w:rPr>
        <w:t>矿产资源勘查许可、采矿许可管理</w:t>
      </w:r>
    </w:p>
    <w:p w14:paraId="61B925BB">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三十四</w:t>
      </w:r>
      <w:r>
        <w:rPr>
          <w:rFonts w:hint="eastAsia"/>
          <w:color w:val="auto"/>
        </w:rPr>
        <w:t>）【许可的类型】矿业权首次登记、变更登记（变更矿业权人名称除外）、转移登记</w:t>
      </w:r>
      <w:r>
        <w:rPr>
          <w:rFonts w:hint="eastAsia"/>
          <w:color w:val="auto"/>
          <w:highlight w:val="none"/>
        </w:rPr>
        <w:t>后</w:t>
      </w:r>
      <w:r>
        <w:rPr>
          <w:rFonts w:hint="eastAsia"/>
          <w:color w:val="auto"/>
        </w:rPr>
        <w:t>，</w:t>
      </w:r>
      <w:r>
        <w:rPr>
          <w:rFonts w:hint="eastAsia"/>
          <w:color w:val="auto"/>
          <w:lang w:eastAsia="zh-CN"/>
        </w:rPr>
        <w:t>以及开采方式变更的，</w:t>
      </w:r>
      <w:r>
        <w:rPr>
          <w:rFonts w:hint="eastAsia"/>
          <w:color w:val="auto"/>
        </w:rPr>
        <w:t>矿业权人应当申请勘查许可或采矿许可。</w:t>
      </w:r>
    </w:p>
    <w:p w14:paraId="1558EA9C">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办理矿业权登记时，可一并申请勘查许可、采矿许可。矿业权人</w:t>
      </w:r>
      <w:r>
        <w:rPr>
          <w:rFonts w:hint="eastAsia"/>
          <w:color w:val="auto"/>
          <w:lang w:eastAsia="zh-CN"/>
        </w:rPr>
        <w:t>仅申请</w:t>
      </w:r>
      <w:r>
        <w:rPr>
          <w:rFonts w:hint="eastAsia"/>
          <w:color w:val="auto"/>
        </w:rPr>
        <w:t>名称变更的，</w:t>
      </w:r>
      <w:r>
        <w:rPr>
          <w:rFonts w:hint="eastAsia"/>
          <w:color w:val="auto"/>
          <w:lang w:eastAsia="zh-CN"/>
        </w:rPr>
        <w:t>应</w:t>
      </w:r>
      <w:r>
        <w:rPr>
          <w:rFonts w:hint="eastAsia"/>
          <w:color w:val="auto"/>
        </w:rPr>
        <w:t>一并申请换发勘查许可证、采矿许可证。</w:t>
      </w:r>
    </w:p>
    <w:p w14:paraId="511091B7">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（三十</w:t>
      </w:r>
      <w:r>
        <w:rPr>
          <w:rFonts w:hint="eastAsia"/>
          <w:color w:val="auto"/>
          <w:lang w:eastAsia="zh-CN"/>
        </w:rPr>
        <w:t>五</w:t>
      </w:r>
      <w:r>
        <w:rPr>
          <w:rFonts w:hint="eastAsia"/>
          <w:color w:val="auto"/>
        </w:rPr>
        <w:t>）【许可审查时间】自然资源主管部门应当自受理勘查许可、采矿许可申请之日起15个工作日内，作出是否准予许可的决定。办理矿业权登记时一并申请勘查许可、采矿许可的，受理时间自矿业权登</w:t>
      </w:r>
      <w:r>
        <w:rPr>
          <w:rFonts w:hint="default"/>
          <w:color w:val="000000"/>
        </w:rPr>
        <w:t>簿</w:t>
      </w:r>
      <w:r>
        <w:rPr>
          <w:rFonts w:hint="eastAsia"/>
          <w:color w:val="auto"/>
          <w:lang w:eastAsia="zh-CN"/>
        </w:rPr>
        <w:t>且资料齐全</w:t>
      </w:r>
      <w:r>
        <w:rPr>
          <w:rFonts w:hint="eastAsia"/>
          <w:color w:val="auto"/>
        </w:rPr>
        <w:t>之日起计算。</w:t>
      </w:r>
    </w:p>
    <w:p w14:paraId="0E3E9BB9">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（三十</w:t>
      </w:r>
      <w:r>
        <w:rPr>
          <w:rFonts w:hint="eastAsia"/>
          <w:color w:val="auto"/>
          <w:lang w:eastAsia="zh-CN"/>
        </w:rPr>
        <w:t>六</w:t>
      </w:r>
      <w:r>
        <w:rPr>
          <w:rFonts w:hint="eastAsia"/>
          <w:color w:val="auto"/>
        </w:rPr>
        <w:t>）【许可期限、矿种</w:t>
      </w:r>
      <w:r>
        <w:rPr>
          <w:rFonts w:hint="eastAsia"/>
          <w:color w:val="auto"/>
          <w:lang w:eastAsia="zh-CN"/>
        </w:rPr>
        <w:t>及</w:t>
      </w:r>
      <w:r>
        <w:rPr>
          <w:rFonts w:hint="eastAsia"/>
          <w:color w:val="auto"/>
        </w:rPr>
        <w:t>范围】勘查许可证、采矿许可证的有效期起始日为批准许可之日，截止日期与探矿权、采矿权登记截止日期一致。</w:t>
      </w:r>
    </w:p>
    <w:p w14:paraId="58B0BB9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勘查许可证、采矿许可证的矿种和区域</w:t>
      </w:r>
      <w:r>
        <w:rPr>
          <w:rFonts w:hint="eastAsia"/>
          <w:color w:val="auto"/>
          <w:lang w:eastAsia="zh-CN"/>
        </w:rPr>
        <w:t>应与</w:t>
      </w:r>
      <w:r>
        <w:rPr>
          <w:rFonts w:hint="eastAsia"/>
          <w:color w:val="auto"/>
        </w:rPr>
        <w:t>探矿权登记、采矿权登记的矿种和区域</w:t>
      </w:r>
      <w:r>
        <w:rPr>
          <w:rFonts w:hint="eastAsia"/>
          <w:color w:val="auto"/>
          <w:lang w:eastAsia="zh-CN"/>
        </w:rPr>
        <w:t>一致</w:t>
      </w:r>
      <w:r>
        <w:rPr>
          <w:rFonts w:hint="eastAsia"/>
          <w:color w:val="auto"/>
        </w:rPr>
        <w:t>。</w:t>
      </w:r>
    </w:p>
    <w:p w14:paraId="1A81BA7F">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（三十</w:t>
      </w:r>
      <w:r>
        <w:rPr>
          <w:rFonts w:hint="eastAsia"/>
          <w:color w:val="auto"/>
          <w:lang w:eastAsia="zh-CN"/>
        </w:rPr>
        <w:t>七</w:t>
      </w:r>
      <w:r>
        <w:rPr>
          <w:rFonts w:hint="eastAsia"/>
          <w:color w:val="auto"/>
        </w:rPr>
        <w:t>）【许可的注销】矿业权人因故不再进行勘查、开采活动时，应当申请注销勘查许可证、采矿许可证。办理探矿权保留的，应当同步申请注销勘查许可证。</w:t>
      </w:r>
    </w:p>
    <w:p w14:paraId="1728E97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有下列情形之一的，原勘查许可证或采矿许可证自行废止：</w:t>
      </w:r>
    </w:p>
    <w:p w14:paraId="47480AD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lang w:val="en-US" w:eastAsia="zh-CN"/>
        </w:rPr>
        <w:t>1.</w:t>
      </w:r>
      <w:r>
        <w:rPr>
          <w:rFonts w:hint="eastAsia"/>
          <w:color w:val="auto"/>
        </w:rPr>
        <w:t>矿业权注销的；</w:t>
      </w:r>
    </w:p>
    <w:p w14:paraId="40A163B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lang w:val="en-US" w:eastAsia="zh-CN"/>
        </w:rPr>
        <w:t>2.</w:t>
      </w:r>
      <w:r>
        <w:rPr>
          <w:rFonts w:hint="eastAsia"/>
          <w:color w:val="auto"/>
        </w:rPr>
        <w:t>矿业权人主体灭失的；</w:t>
      </w:r>
    </w:p>
    <w:p w14:paraId="1190DD36">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val="en-US" w:eastAsia="zh-CN"/>
        </w:rPr>
        <w:t>3.</w:t>
      </w:r>
      <w:r>
        <w:rPr>
          <w:color w:val="auto"/>
        </w:rPr>
        <w:t>勘查许可证或采矿许可证有效期届满</w:t>
      </w:r>
      <w:r>
        <w:rPr>
          <w:rFonts w:hint="eastAsia"/>
          <w:color w:val="auto"/>
          <w:lang w:eastAsia="zh-CN"/>
        </w:rPr>
        <w:t>且未按规定提交许可申请</w:t>
      </w:r>
      <w:r>
        <w:rPr>
          <w:color w:val="auto"/>
        </w:rPr>
        <w:t>的；</w:t>
      </w:r>
    </w:p>
    <w:p w14:paraId="2C238DC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lang w:val="en-US" w:eastAsia="zh-CN"/>
        </w:rPr>
        <w:t>4.</w:t>
      </w:r>
      <w:r>
        <w:rPr>
          <w:rFonts w:hint="eastAsia"/>
          <w:color w:val="auto"/>
        </w:rPr>
        <w:t>同一矿业权已新颁发勘查许可证或采矿许可证的。</w:t>
      </w:r>
    </w:p>
    <w:p w14:paraId="5ADCF845">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勘查许可证或采矿许可证被吊销的，以及法律、法规规定应当注销勘查许可证或采矿许可证的其他</w:t>
      </w:r>
      <w:r>
        <w:rPr>
          <w:rFonts w:hint="eastAsia"/>
          <w:color w:val="auto"/>
          <w:lang w:eastAsia="zh-CN"/>
        </w:rPr>
        <w:t>情形</w:t>
      </w:r>
      <w:r>
        <w:rPr>
          <w:rFonts w:hint="eastAsia"/>
          <w:color w:val="auto"/>
        </w:rPr>
        <w:t>，</w:t>
      </w:r>
      <w:r>
        <w:rPr>
          <w:color w:val="auto"/>
        </w:rPr>
        <w:t>自然资源主管部门应当依职权注销</w:t>
      </w:r>
      <w:r>
        <w:rPr>
          <w:rFonts w:hint="eastAsia"/>
          <w:color w:val="auto"/>
        </w:rPr>
        <w:t>。</w:t>
      </w:r>
    </w:p>
    <w:p w14:paraId="5B9D7416">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right="0" w:firstLine="640" w:firstLineChars="200"/>
        <w:textAlignment w:val="auto"/>
        <w:rPr>
          <w:rFonts w:hint="eastAsia" w:ascii="黑体" w:hAnsi="黑体" w:cs="黑体"/>
          <w:bCs w:val="0"/>
          <w:color w:val="auto"/>
          <w:kern w:val="2"/>
          <w:szCs w:val="22"/>
        </w:rPr>
      </w:pPr>
      <w:r>
        <w:rPr>
          <w:rFonts w:hint="eastAsia" w:ascii="黑体" w:hAnsi="黑体" w:cs="黑体"/>
          <w:bCs w:val="0"/>
          <w:color w:val="auto"/>
          <w:kern w:val="2"/>
          <w:szCs w:val="22"/>
          <w:lang w:eastAsia="zh-CN"/>
        </w:rPr>
        <w:t>六、</w:t>
      </w:r>
      <w:r>
        <w:rPr>
          <w:rFonts w:hint="eastAsia" w:ascii="黑体" w:hAnsi="黑体" w:cs="黑体"/>
          <w:bCs w:val="0"/>
          <w:color w:val="auto"/>
          <w:kern w:val="2"/>
          <w:szCs w:val="22"/>
        </w:rPr>
        <w:t>油气探采合一管理</w:t>
      </w:r>
    </w:p>
    <w:p w14:paraId="74FBD91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（三十</w:t>
      </w:r>
      <w:r>
        <w:rPr>
          <w:rFonts w:hint="eastAsia"/>
          <w:color w:val="auto"/>
          <w:lang w:eastAsia="zh-CN"/>
        </w:rPr>
        <w:t>八</w:t>
      </w:r>
      <w:r>
        <w:rPr>
          <w:rFonts w:hint="eastAsia"/>
          <w:color w:val="auto"/>
        </w:rPr>
        <w:t>）【</w:t>
      </w:r>
      <w:r>
        <w:rPr>
          <w:rFonts w:hint="eastAsia"/>
          <w:color w:val="auto"/>
          <w:lang w:eastAsia="zh-CN"/>
        </w:rPr>
        <w:t>探采合一计划</w:t>
      </w:r>
      <w:r>
        <w:rPr>
          <w:rFonts w:hint="eastAsia"/>
          <w:color w:val="auto"/>
        </w:rPr>
        <w:t>】油气矿业权实行探采合一管理制度。油气矿业权人勘查过程中发现可供开采的油气矿产资源，完成试油（气）作业后决定继续开采的，在30日内向自然资源部提交探采合一计划表后可以进行开采。已设采矿权深部或上部发现可供开采的油气资源进行</w:t>
      </w:r>
      <w:r>
        <w:rPr>
          <w:rFonts w:hint="eastAsia"/>
          <w:color w:val="auto"/>
          <w:u w:val="none"/>
        </w:rPr>
        <w:t>开采</w:t>
      </w:r>
      <w:r>
        <w:rPr>
          <w:rFonts w:hint="eastAsia"/>
          <w:color w:val="auto"/>
        </w:rPr>
        <w:t>的，无须</w:t>
      </w:r>
      <w:r>
        <w:rPr>
          <w:rFonts w:hint="eastAsia"/>
          <w:color w:val="auto"/>
          <w:lang w:eastAsia="zh-CN"/>
        </w:rPr>
        <w:t>提交</w:t>
      </w:r>
      <w:r>
        <w:rPr>
          <w:rFonts w:hint="eastAsia"/>
          <w:color w:val="auto"/>
        </w:rPr>
        <w:t>探采合一</w:t>
      </w:r>
      <w:r>
        <w:rPr>
          <w:rFonts w:hint="eastAsia"/>
          <w:color w:val="auto"/>
          <w:lang w:eastAsia="zh-CN"/>
        </w:rPr>
        <w:t>计划</w:t>
      </w:r>
      <w:r>
        <w:rPr>
          <w:rFonts w:hint="eastAsia"/>
          <w:color w:val="auto"/>
        </w:rPr>
        <w:t>。</w:t>
      </w:r>
    </w:p>
    <w:p w14:paraId="2D09CE13">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探采合一计划内容包括发现可供开采的油气</w:t>
      </w:r>
      <w:r>
        <w:rPr>
          <w:rFonts w:hint="eastAsia"/>
          <w:color w:val="auto"/>
          <w:lang w:eastAsia="zh-CN"/>
        </w:rPr>
        <w:t>矿产</w:t>
      </w:r>
      <w:r>
        <w:rPr>
          <w:rFonts w:hint="eastAsia"/>
          <w:color w:val="auto"/>
        </w:rPr>
        <w:t>资源所属的矿业权信息、开采井井口坐标、坐标范围（探采合一计划范围坐标，为开采井外包络线坐标）、地理位置、开采矿种、赋存层位、试油（气）情况等。</w:t>
      </w:r>
    </w:p>
    <w:p w14:paraId="6EBB897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u w:val="single"/>
        </w:rPr>
      </w:pPr>
      <w:r>
        <w:rPr>
          <w:rFonts w:hint="eastAsia"/>
          <w:color w:val="auto"/>
        </w:rPr>
        <w:t>探采合一计划可以</w:t>
      </w:r>
      <w:r>
        <w:rPr>
          <w:rFonts w:hint="eastAsia"/>
          <w:color w:val="auto"/>
          <w:lang w:eastAsia="zh-CN"/>
        </w:rPr>
        <w:t>以</w:t>
      </w:r>
      <w:r>
        <w:rPr>
          <w:rFonts w:hint="eastAsia"/>
          <w:color w:val="auto"/>
        </w:rPr>
        <w:t>单井为单位报告，也可</w:t>
      </w:r>
      <w:r>
        <w:rPr>
          <w:rFonts w:hint="eastAsia"/>
          <w:color w:val="auto"/>
          <w:lang w:eastAsia="zh-CN"/>
        </w:rPr>
        <w:t>以</w:t>
      </w:r>
      <w:r>
        <w:rPr>
          <w:rFonts w:hint="eastAsia"/>
          <w:color w:val="auto"/>
        </w:rPr>
        <w:t>将同一开采区域的</w:t>
      </w:r>
      <w:r>
        <w:rPr>
          <w:rFonts w:hint="eastAsia"/>
          <w:color w:val="auto"/>
          <w:lang w:eastAsia="zh-CN"/>
        </w:rPr>
        <w:t>开采</w:t>
      </w:r>
      <w:r>
        <w:rPr>
          <w:rFonts w:hint="eastAsia"/>
          <w:color w:val="auto"/>
        </w:rPr>
        <w:t>单井</w:t>
      </w:r>
      <w:r>
        <w:rPr>
          <w:rFonts w:hint="eastAsia"/>
          <w:color w:val="auto"/>
          <w:lang w:eastAsia="zh-CN"/>
        </w:rPr>
        <w:t>合并</w:t>
      </w:r>
      <w:r>
        <w:rPr>
          <w:rFonts w:hint="eastAsia"/>
          <w:color w:val="auto"/>
        </w:rPr>
        <w:t>报告，</w:t>
      </w:r>
      <w:r>
        <w:rPr>
          <w:rFonts w:hint="eastAsia"/>
          <w:color w:val="auto"/>
          <w:lang w:eastAsia="zh-CN"/>
        </w:rPr>
        <w:t>合并</w:t>
      </w:r>
      <w:r>
        <w:rPr>
          <w:rFonts w:hint="eastAsia"/>
          <w:color w:val="auto"/>
        </w:rPr>
        <w:t>报告的开采井外包络线范围须为一个构造单元</w:t>
      </w:r>
      <w:r>
        <w:rPr>
          <w:rFonts w:hint="eastAsia"/>
          <w:color w:val="auto"/>
          <w:lang w:eastAsia="zh-CN"/>
        </w:rPr>
        <w:t>，原则上</w:t>
      </w:r>
      <w:r>
        <w:rPr>
          <w:rFonts w:hint="eastAsia"/>
          <w:color w:val="auto"/>
        </w:rPr>
        <w:t>不超过20平方千米</w:t>
      </w:r>
      <w:r>
        <w:rPr>
          <w:rFonts w:hint="eastAsia"/>
          <w:color w:val="auto"/>
          <w:lang w:eastAsia="zh-CN"/>
        </w:rPr>
        <w:t>。</w:t>
      </w:r>
      <w:r>
        <w:rPr>
          <w:rFonts w:hint="eastAsia"/>
          <w:color w:val="auto"/>
        </w:rPr>
        <w:t>同一层位报告开采井外包络线之间不得相互重叠，不得跨探矿权。</w:t>
      </w:r>
    </w:p>
    <w:p w14:paraId="3B4DB45E">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三十九</w:t>
      </w:r>
      <w:r>
        <w:rPr>
          <w:rFonts w:hint="eastAsia"/>
          <w:color w:val="auto"/>
        </w:rPr>
        <w:t>）【</w:t>
      </w:r>
      <w:r>
        <w:rPr>
          <w:rFonts w:hint="default"/>
          <w:color w:val="000000"/>
        </w:rPr>
        <w:t>转采</w:t>
      </w:r>
      <w:r>
        <w:rPr>
          <w:rFonts w:hint="eastAsia"/>
          <w:color w:val="auto"/>
        </w:rPr>
        <w:t>规定】矿业权人在勘查开采过程中探明地质储量的区域，应当及时编制矿产资源储量报告，</w:t>
      </w:r>
      <w:r>
        <w:rPr>
          <w:rFonts w:hint="eastAsia"/>
          <w:color w:val="auto"/>
          <w:lang w:eastAsia="zh-CN"/>
        </w:rPr>
        <w:t>并申请</w:t>
      </w:r>
      <w:r>
        <w:rPr>
          <w:rFonts w:hint="eastAsia"/>
          <w:color w:val="auto"/>
        </w:rPr>
        <w:t>矿产资源储量审核</w:t>
      </w:r>
      <w:r>
        <w:rPr>
          <w:rFonts w:hint="eastAsia"/>
          <w:color w:val="auto"/>
          <w:lang w:eastAsia="zh-CN"/>
        </w:rPr>
        <w:t>。</w:t>
      </w:r>
      <w:r>
        <w:rPr>
          <w:rFonts w:hint="eastAsia"/>
          <w:color w:val="auto"/>
        </w:rPr>
        <w:t>实施探采合一计划5年内，矿业权人应当与自然资源主管部门签订采矿权出让合同，</w:t>
      </w:r>
      <w:r>
        <w:rPr>
          <w:rFonts w:hint="eastAsia"/>
          <w:color w:val="auto"/>
          <w:lang w:eastAsia="zh-CN"/>
        </w:rPr>
        <w:t>申请</w:t>
      </w:r>
      <w:r>
        <w:rPr>
          <w:rFonts w:hint="eastAsia"/>
          <w:color w:val="auto"/>
        </w:rPr>
        <w:t>办理采矿权登记。</w:t>
      </w:r>
    </w:p>
    <w:p w14:paraId="67A2FDB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矿业权人完成试油（气）作业后决定不再继续开采的，应当按照有关标准规范对钻井进行处置，依法履行</w:t>
      </w:r>
      <w:r>
        <w:rPr>
          <w:rFonts w:hint="eastAsia"/>
          <w:color w:val="auto"/>
          <w:lang w:eastAsia="zh-CN"/>
        </w:rPr>
        <w:t>土地复垦等</w:t>
      </w:r>
      <w:r>
        <w:rPr>
          <w:rFonts w:hint="eastAsia"/>
          <w:color w:val="auto"/>
        </w:rPr>
        <w:t>义务。提交探采合一计划后未在</w:t>
      </w:r>
      <w:r>
        <w:rPr>
          <w:rFonts w:hint="eastAsia"/>
          <w:color w:val="auto"/>
          <w:lang w:val="en-US" w:eastAsia="zh-CN"/>
        </w:rPr>
        <w:t>5年</w:t>
      </w:r>
      <w:r>
        <w:rPr>
          <w:rFonts w:hint="eastAsia"/>
          <w:color w:val="auto"/>
        </w:rPr>
        <w:t>内转为采矿权的，同一</w:t>
      </w:r>
      <w:r>
        <w:rPr>
          <w:rFonts w:hint="eastAsia"/>
          <w:color w:val="auto"/>
          <w:lang w:eastAsia="zh-CN"/>
        </w:rPr>
        <w:t>区域</w:t>
      </w:r>
      <w:r>
        <w:rPr>
          <w:rFonts w:hint="eastAsia"/>
          <w:color w:val="auto"/>
        </w:rPr>
        <w:t>不得再次提交探采合一计划。</w:t>
      </w:r>
    </w:p>
    <w:p w14:paraId="3A30F0B8">
      <w:pPr>
        <w:pStyle w:val="2"/>
        <w:keepNext w:val="0"/>
        <w:keepLines w:val="0"/>
        <w:numPr>
          <w:ilvl w:val="0"/>
          <w:numId w:val="0"/>
        </w:numPr>
        <w:spacing w:before="0" w:after="0" w:line="580" w:lineRule="exact"/>
        <w:ind w:left="0" w:firstLine="640" w:firstLineChars="200"/>
        <w:rPr>
          <w:rFonts w:hint="eastAsia" w:ascii="黑体" w:hAnsi="黑体" w:cs="黑体"/>
          <w:bCs w:val="0"/>
          <w:color w:val="auto"/>
          <w:kern w:val="2"/>
          <w:szCs w:val="22"/>
        </w:rPr>
      </w:pPr>
      <w:r>
        <w:rPr>
          <w:rFonts w:hint="eastAsia" w:ascii="黑体" w:hAnsi="黑体" w:cs="黑体"/>
          <w:bCs w:val="0"/>
          <w:color w:val="auto"/>
          <w:kern w:val="2"/>
          <w:szCs w:val="22"/>
          <w:lang w:eastAsia="zh-CN"/>
        </w:rPr>
        <w:t>七、</w:t>
      </w:r>
      <w:r>
        <w:rPr>
          <w:rFonts w:hint="eastAsia" w:ascii="黑体" w:hAnsi="黑体" w:cs="黑体"/>
          <w:bCs w:val="0"/>
          <w:color w:val="auto"/>
          <w:kern w:val="2"/>
          <w:szCs w:val="22"/>
        </w:rPr>
        <w:t>矿产资源储量管理</w:t>
      </w:r>
    </w:p>
    <w:p w14:paraId="549EB05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四</w:t>
      </w:r>
      <w:r>
        <w:rPr>
          <w:rFonts w:hint="eastAsia"/>
          <w:color w:val="auto"/>
        </w:rPr>
        <w:t>十）【强化矿产资源储量审核】自然资源主管部门落实矿产资源国家所有的法律要求，对矿业权人或项目建设单位申报的矿产资源储量</w:t>
      </w:r>
      <w:r>
        <w:rPr>
          <w:rFonts w:hint="eastAsia"/>
          <w:color w:val="auto"/>
          <w:lang w:eastAsia="zh-CN"/>
        </w:rPr>
        <w:t>报告</w:t>
      </w:r>
      <w:r>
        <w:rPr>
          <w:rFonts w:hint="eastAsia"/>
          <w:color w:val="auto"/>
        </w:rPr>
        <w:t>进行审核</w:t>
      </w:r>
      <w:r>
        <w:rPr>
          <w:rFonts w:hint="eastAsia" w:ascii="Times New Roman" w:hAnsi="Times New Roman" w:eastAsia="仿宋_GB2312" w:cs="Times New Roman"/>
          <w:color w:val="auto"/>
          <w:sz w:val="32"/>
          <w:szCs w:val="32"/>
          <w:lang w:val="en" w:eastAsia="zh-CN"/>
        </w:rPr>
        <w:t>或纳入矿业权人勘查开采信息管理</w:t>
      </w:r>
      <w:r>
        <w:rPr>
          <w:rFonts w:hint="eastAsia"/>
          <w:color w:val="auto"/>
        </w:rPr>
        <w:t>。自然资源主管部门可以委托矿产资源储量评审机构根据审核范围和权限组织开展技术评估，相关费用按照国家有关规定执行。</w:t>
      </w:r>
    </w:p>
    <w:p w14:paraId="53FB4230">
      <w:pPr>
        <w:keepNext w:val="0"/>
        <w:keepLines w:val="0"/>
        <w:pageBreakBefore w:val="0"/>
        <w:widowControl w:val="0"/>
        <w:kinsoku/>
        <w:overflowPunct/>
        <w:topLinePunct w:val="0"/>
        <w:autoSpaceDE/>
        <w:autoSpaceDN/>
        <w:bidi w:val="0"/>
        <w:adjustRightInd/>
        <w:snapToGrid/>
        <w:spacing w:line="580" w:lineRule="exact"/>
        <w:ind w:left="0" w:right="0" w:firstLine="518" w:firstLineChars="162"/>
        <w:textAlignment w:val="auto"/>
        <w:rPr>
          <w:rFonts w:hint="eastAsia" w:eastAsia="仿宋_GB2312"/>
          <w:color w:val="auto"/>
          <w:lang w:eastAsia="zh-CN"/>
        </w:rPr>
      </w:pPr>
      <w:r>
        <w:rPr>
          <w:rFonts w:hint="eastAsia"/>
          <w:color w:val="auto"/>
        </w:rPr>
        <w:t>（</w:t>
      </w:r>
      <w:r>
        <w:rPr>
          <w:rFonts w:hint="eastAsia"/>
          <w:color w:val="auto"/>
          <w:lang w:eastAsia="zh-CN"/>
        </w:rPr>
        <w:t>四</w:t>
      </w:r>
      <w:r>
        <w:rPr>
          <w:rFonts w:hint="eastAsia"/>
          <w:color w:val="auto"/>
        </w:rPr>
        <w:t>十</w:t>
      </w:r>
      <w:r>
        <w:rPr>
          <w:rFonts w:hint="eastAsia"/>
          <w:color w:val="auto"/>
          <w:lang w:eastAsia="zh-CN"/>
        </w:rPr>
        <w:t>一</w:t>
      </w:r>
      <w:r>
        <w:rPr>
          <w:rFonts w:hint="eastAsia"/>
          <w:color w:val="auto"/>
        </w:rPr>
        <w:t>）【明确范围和权限】探矿权转采矿权，采矿权变更矿种或范围涉及矿产资源储量变化，油气矿产在</w:t>
      </w:r>
      <w:r>
        <w:rPr>
          <w:rFonts w:hint="default"/>
          <w:color w:val="000000"/>
        </w:rPr>
        <w:t>探</w:t>
      </w:r>
      <w:r>
        <w:rPr>
          <w:rFonts w:hint="eastAsia"/>
          <w:color w:val="auto"/>
        </w:rPr>
        <w:t>采矿期间油气田内累计探明技术可采储量达到中型及以上规模</w:t>
      </w:r>
      <w:r>
        <w:rPr>
          <w:rFonts w:hint="eastAsia"/>
          <w:color w:val="auto"/>
          <w:lang w:eastAsia="zh-CN"/>
        </w:rPr>
        <w:t>，</w:t>
      </w:r>
      <w:r>
        <w:rPr>
          <w:rFonts w:hint="eastAsia"/>
          <w:color w:val="auto"/>
        </w:rPr>
        <w:t>其他矿产在采矿期间累计查明矿产资源量发生重大变化的（变化量超过30%或达到中型规模以上的），以及建设项目</w:t>
      </w:r>
      <w:r>
        <w:rPr>
          <w:rFonts w:hint="default"/>
          <w:color w:val="000000"/>
        </w:rPr>
        <w:t>压覆</w:t>
      </w:r>
      <w:r>
        <w:rPr>
          <w:rFonts w:hint="eastAsia"/>
          <w:color w:val="auto"/>
        </w:rPr>
        <w:t>战略性矿产，应当编制符合相关标准规范的矿产资源储量报告，申请审核。</w:t>
      </w:r>
    </w:p>
    <w:p w14:paraId="0498FCC9">
      <w:pPr>
        <w:keepNext w:val="0"/>
        <w:keepLines w:val="0"/>
        <w:pageBreakBefore w:val="0"/>
        <w:widowControl w:val="0"/>
        <w:kinsoku/>
        <w:overflowPunct/>
        <w:topLinePunct w:val="0"/>
        <w:autoSpaceDE/>
        <w:autoSpaceDN/>
        <w:bidi w:val="0"/>
        <w:adjustRightInd/>
        <w:snapToGrid/>
        <w:spacing w:line="580" w:lineRule="exact"/>
        <w:ind w:right="0"/>
        <w:textAlignment w:val="auto"/>
        <w:rPr>
          <w:color w:val="auto"/>
        </w:rPr>
      </w:pPr>
      <w:r>
        <w:rPr>
          <w:rFonts w:hint="eastAsia"/>
          <w:color w:val="auto"/>
        </w:rPr>
        <w:t>自然资源部负责本级已颁发勘查许可证或采矿许可证的矿产资源储量审核工作，其他由省级自然资源主管部门负责。持续推进矿产资源储量市场服务体系建设，满足企业生产经营、矿业行业发展和市场需要。</w:t>
      </w:r>
    </w:p>
    <w:p w14:paraId="7BC08B01">
      <w:pPr>
        <w:pStyle w:val="2"/>
        <w:keepNext w:val="0"/>
        <w:keepLines w:val="0"/>
        <w:pageBreakBefore w:val="0"/>
        <w:widowControl w:val="0"/>
        <w:numPr>
          <w:ilvl w:val="0"/>
          <w:numId w:val="0"/>
        </w:numPr>
        <w:kinsoku/>
        <w:overflowPunct/>
        <w:topLinePunct w:val="0"/>
        <w:autoSpaceDE/>
        <w:autoSpaceDN/>
        <w:bidi w:val="0"/>
        <w:adjustRightInd/>
        <w:snapToGrid/>
        <w:spacing w:before="0" w:after="0" w:line="580" w:lineRule="exact"/>
        <w:ind w:left="0" w:right="0" w:firstLine="640" w:firstLineChars="200"/>
        <w:textAlignment w:val="auto"/>
        <w:rPr>
          <w:rFonts w:hint="eastAsia" w:ascii="黑体" w:hAnsi="黑体" w:cs="黑体"/>
          <w:bCs w:val="0"/>
          <w:color w:val="auto"/>
          <w:kern w:val="2"/>
          <w:szCs w:val="22"/>
        </w:rPr>
      </w:pPr>
      <w:r>
        <w:rPr>
          <w:rFonts w:hint="eastAsia" w:ascii="黑体" w:hAnsi="黑体" w:cs="黑体"/>
          <w:bCs w:val="0"/>
          <w:color w:val="auto"/>
          <w:kern w:val="2"/>
          <w:szCs w:val="22"/>
          <w:lang w:eastAsia="zh-CN"/>
        </w:rPr>
        <w:t>八、</w:t>
      </w:r>
      <w:r>
        <w:rPr>
          <w:rFonts w:hint="eastAsia" w:ascii="黑体" w:hAnsi="黑体" w:cs="黑体"/>
          <w:bCs w:val="0"/>
          <w:color w:val="auto"/>
          <w:kern w:val="2"/>
          <w:szCs w:val="22"/>
        </w:rPr>
        <w:t>其他有关事项</w:t>
      </w:r>
    </w:p>
    <w:p w14:paraId="6C7BC67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w:t>
      </w:r>
      <w:r>
        <w:rPr>
          <w:rFonts w:hint="eastAsia"/>
          <w:color w:val="auto"/>
          <w:lang w:eastAsia="zh-CN"/>
        </w:rPr>
        <w:t>四</w:t>
      </w:r>
      <w:r>
        <w:rPr>
          <w:rFonts w:hint="eastAsia"/>
          <w:color w:val="auto"/>
        </w:rPr>
        <w:t>十</w:t>
      </w:r>
      <w:r>
        <w:rPr>
          <w:rFonts w:hint="eastAsia"/>
          <w:color w:val="auto"/>
          <w:lang w:eastAsia="zh-CN"/>
        </w:rPr>
        <w:t>二</w:t>
      </w:r>
      <w:r>
        <w:rPr>
          <w:rFonts w:hint="eastAsia"/>
          <w:color w:val="auto"/>
        </w:rPr>
        <w:t>）【许可证的样式】勘查许可证、采矿许可证由自然资源部统一监制。省级自然资源主管部门应当严格依照自然资源部规定的样式统一负责本行政区域内勘查许可证和采矿许可证的印制、发行、管理和质量监督工作。</w:t>
      </w:r>
    </w:p>
    <w:p w14:paraId="006412A8">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全国勘查许可证号、采矿许可证号实行统一编码，自然资源部制订编码规则。未经统一编</w:t>
      </w:r>
      <w:r>
        <w:rPr>
          <w:rFonts w:hint="eastAsia"/>
          <w:color w:val="auto"/>
          <w:lang w:eastAsia="zh-CN"/>
        </w:rPr>
        <w:t>码</w:t>
      </w:r>
      <w:r>
        <w:rPr>
          <w:rFonts w:hint="eastAsia"/>
          <w:color w:val="auto"/>
        </w:rPr>
        <w:t>的勘查许可或采矿许可视为无效行政许可。</w:t>
      </w:r>
    </w:p>
    <w:p w14:paraId="21A5E08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eastAsia="仿宋_GB2312"/>
          <w:color w:val="auto"/>
          <w:lang w:eastAsia="zh-CN"/>
        </w:rPr>
      </w:pPr>
      <w:r>
        <w:rPr>
          <w:rFonts w:hint="default"/>
          <w:color w:val="000000"/>
        </w:rPr>
        <w:t>自然资源部部</w:t>
      </w:r>
      <w:r>
        <w:rPr>
          <w:rFonts w:hint="eastAsia"/>
          <w:color w:val="auto"/>
        </w:rPr>
        <w:t>本级应用电子勘查许可证、采矿许可证。鼓励各地自然资源主管部门</w:t>
      </w:r>
      <w:r>
        <w:rPr>
          <w:rFonts w:hint="eastAsia"/>
          <w:color w:val="auto"/>
          <w:lang w:eastAsia="zh-CN"/>
        </w:rPr>
        <w:t>探索</w:t>
      </w:r>
      <w:r>
        <w:rPr>
          <w:rFonts w:hint="eastAsia"/>
          <w:color w:val="auto"/>
        </w:rPr>
        <w:t>使用电子勘查许可证、采矿许可证</w:t>
      </w:r>
      <w:r>
        <w:rPr>
          <w:rFonts w:hint="eastAsia"/>
          <w:color w:val="auto"/>
          <w:lang w:eastAsia="zh-CN"/>
        </w:rPr>
        <w:t>。</w:t>
      </w:r>
    </w:p>
    <w:p w14:paraId="6F023E69">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w:t>
      </w:r>
      <w:r>
        <w:rPr>
          <w:rFonts w:hint="eastAsia"/>
          <w:color w:val="auto"/>
          <w:lang w:eastAsia="zh-CN"/>
        </w:rPr>
        <w:t>四十三</w:t>
      </w:r>
      <w:r>
        <w:rPr>
          <w:rFonts w:hint="eastAsia"/>
          <w:color w:val="auto"/>
        </w:rPr>
        <w:t>）【许可申请书的样式】勘查许可申请书、采矿许可申请书样式由自然资源部统一制订。</w:t>
      </w:r>
    </w:p>
    <w:p w14:paraId="1743E590">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（四十</w:t>
      </w:r>
      <w:r>
        <w:rPr>
          <w:rFonts w:hint="eastAsia"/>
          <w:color w:val="auto"/>
          <w:lang w:eastAsia="zh-CN"/>
        </w:rPr>
        <w:t>四</w:t>
      </w:r>
      <w:r>
        <w:rPr>
          <w:rFonts w:hint="eastAsia"/>
          <w:color w:val="auto"/>
        </w:rPr>
        <w:t>）【申请人承诺】申请人应当如实向自然资源主管部门提交申请材料，并对申请材料的真实性负责；隐瞒有关情况或者提供虚假材料申请行政许可的，以欺骗、贿赂等不正当手段取得行政许可的，依据</w:t>
      </w:r>
      <w:r>
        <w:rPr>
          <w:rFonts w:hint="default"/>
          <w:color w:val="000000"/>
        </w:rPr>
        <w:t>《行政许可法》</w:t>
      </w:r>
      <w:r>
        <w:rPr>
          <w:rFonts w:hint="eastAsia"/>
          <w:color w:val="auto"/>
        </w:rPr>
        <w:t>等法律法规处理。</w:t>
      </w:r>
    </w:p>
    <w:p w14:paraId="498789B3">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申请人委托他人办理的，被委托人应当出具申请人书面委托书和</w:t>
      </w:r>
      <w:r>
        <w:rPr>
          <w:rFonts w:hint="eastAsia"/>
          <w:color w:val="auto"/>
          <w:lang w:eastAsia="zh-CN"/>
        </w:rPr>
        <w:t>被委托</w:t>
      </w:r>
      <w:r>
        <w:rPr>
          <w:rFonts w:hint="eastAsia"/>
          <w:color w:val="auto"/>
        </w:rPr>
        <w:t>人身份证。</w:t>
      </w:r>
    </w:p>
    <w:p w14:paraId="10AEB5C9">
      <w:pPr>
        <w:keepNext w:val="0"/>
        <w:keepLines w:val="0"/>
        <w:pageBreakBefore w:val="0"/>
        <w:widowControl w:val="0"/>
        <w:kinsoku/>
        <w:wordWrap/>
        <w:overflowPunct/>
        <w:topLinePunct w:val="0"/>
        <w:autoSpaceDE/>
        <w:autoSpaceDN/>
        <w:bidi w:val="0"/>
        <w:adjustRightInd/>
        <w:snapToGrid/>
        <w:spacing w:line="580" w:lineRule="exact"/>
        <w:ind w:firstLine="640" w:firstLineChars="0"/>
        <w:textAlignment w:val="auto"/>
        <w:rPr>
          <w:color w:val="auto"/>
        </w:rPr>
      </w:pPr>
      <w:r>
        <w:rPr>
          <w:rFonts w:hint="eastAsia"/>
          <w:color w:val="auto"/>
        </w:rPr>
        <w:t>矿业权设立后，通过股权转让等原因导致实际控制人变更的（</w:t>
      </w:r>
      <w:r>
        <w:rPr>
          <w:rFonts w:hint="default"/>
          <w:color w:val="000000"/>
        </w:rPr>
        <w:t>含</w:t>
      </w:r>
      <w:r>
        <w:rPr>
          <w:rFonts w:hint="eastAsia"/>
          <w:color w:val="auto"/>
        </w:rPr>
        <w:t>变更为外资企业的），矿业权人</w:t>
      </w:r>
      <w:r>
        <w:rPr>
          <w:rFonts w:hint="eastAsia"/>
          <w:color w:val="auto"/>
          <w:lang w:eastAsia="zh-CN"/>
        </w:rPr>
        <w:t>应</w:t>
      </w:r>
      <w:r>
        <w:rPr>
          <w:rFonts w:hint="eastAsia"/>
          <w:color w:val="auto"/>
        </w:rPr>
        <w:t>在全国</w:t>
      </w:r>
      <w:r>
        <w:rPr>
          <w:rFonts w:hint="eastAsia"/>
          <w:color w:val="auto"/>
          <w:lang w:eastAsia="zh-CN"/>
        </w:rPr>
        <w:t>矿业权人</w:t>
      </w:r>
      <w:r>
        <w:rPr>
          <w:rFonts w:hint="eastAsia"/>
          <w:color w:val="auto"/>
        </w:rPr>
        <w:t>勘查开采信息管理系统</w:t>
      </w:r>
      <w:r>
        <w:rPr>
          <w:rFonts w:hint="eastAsia"/>
          <w:color w:val="auto"/>
          <w:lang w:eastAsia="zh-CN"/>
        </w:rPr>
        <w:t>中</w:t>
      </w:r>
      <w:r>
        <w:rPr>
          <w:rFonts w:hint="eastAsia"/>
          <w:color w:val="auto"/>
        </w:rPr>
        <w:t>填报有关信息，重点提供股权架构信息。</w:t>
      </w:r>
    </w:p>
    <w:p w14:paraId="70C2244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（四十</w:t>
      </w:r>
      <w:r>
        <w:rPr>
          <w:rFonts w:hint="eastAsia"/>
          <w:color w:val="auto"/>
          <w:lang w:eastAsia="zh-CN"/>
        </w:rPr>
        <w:t>五</w:t>
      </w:r>
      <w:r>
        <w:rPr>
          <w:rFonts w:hint="eastAsia"/>
          <w:color w:val="auto"/>
        </w:rPr>
        <w:t>）【过期申请】因不可抗力或非矿业权人自身原因导致2025年7月1日前已颁发勘查许可证、采矿许可证过期的，可凭在有效期内已向登记机构提交续期申请等相关证明材料申请签订出让合同、申请办理矿业权续期登记和勘查许可证或采矿许可证。</w:t>
      </w:r>
    </w:p>
    <w:p w14:paraId="772928C6">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（四十</w:t>
      </w:r>
      <w:r>
        <w:rPr>
          <w:rFonts w:hint="eastAsia"/>
          <w:color w:val="auto"/>
          <w:lang w:eastAsia="zh-CN"/>
        </w:rPr>
        <w:t>六</w:t>
      </w:r>
      <w:r>
        <w:rPr>
          <w:rFonts w:hint="eastAsia"/>
          <w:color w:val="auto"/>
        </w:rPr>
        <w:t>）【信息公开】自然资源主管部门在准予勘查许可、采矿许可后，应及时在门户网站进行公开。上级自然资源主管部门颁发勘查许可证、采矿许可证后，应当及时通知矿业权所在地的下级自然资源主管部门。</w:t>
      </w:r>
    </w:p>
    <w:p w14:paraId="748B2042">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r>
        <w:rPr>
          <w:rFonts w:hint="eastAsia"/>
          <w:color w:val="auto"/>
        </w:rPr>
        <w:t>（四十</w:t>
      </w:r>
      <w:r>
        <w:rPr>
          <w:rFonts w:hint="eastAsia"/>
          <w:color w:val="auto"/>
          <w:lang w:eastAsia="zh-CN"/>
        </w:rPr>
        <w:t>七</w:t>
      </w:r>
      <w:r>
        <w:rPr>
          <w:rFonts w:hint="eastAsia"/>
          <w:color w:val="auto"/>
        </w:rPr>
        <w:t>）【遗失补办】勘查许可证、采矿许可证遗失需补办的，</w:t>
      </w:r>
      <w:r>
        <w:rPr>
          <w:rFonts w:hint="eastAsia"/>
          <w:color w:val="auto"/>
          <w:lang w:eastAsia="zh-CN"/>
        </w:rPr>
        <w:t>可</w:t>
      </w:r>
      <w:r>
        <w:rPr>
          <w:rFonts w:hint="eastAsia"/>
          <w:color w:val="auto"/>
        </w:rPr>
        <w:t>向</w:t>
      </w:r>
      <w:r>
        <w:rPr>
          <w:rFonts w:hint="eastAsia"/>
          <w:color w:val="auto"/>
          <w:lang w:eastAsia="zh-CN"/>
        </w:rPr>
        <w:t>有权限的自然资源主管部门</w:t>
      </w:r>
      <w:r>
        <w:rPr>
          <w:rFonts w:hint="eastAsia"/>
          <w:color w:val="auto"/>
        </w:rPr>
        <w:t>申请补办，</w:t>
      </w:r>
      <w:r>
        <w:rPr>
          <w:rFonts w:hint="eastAsia"/>
          <w:color w:val="auto"/>
          <w:lang w:eastAsia="zh-CN"/>
        </w:rPr>
        <w:t>自然资源主管部门发布</w:t>
      </w:r>
      <w:r>
        <w:rPr>
          <w:rFonts w:hint="eastAsia"/>
          <w:color w:val="auto"/>
        </w:rPr>
        <w:t>遗失公告满10个工作日无异议后，补发新的勘查许可证、采矿许可证。补办的勘查许可证、采矿许可证内容应当与原</w:t>
      </w:r>
      <w:r>
        <w:rPr>
          <w:rFonts w:hint="default"/>
          <w:color w:val="000000"/>
        </w:rPr>
        <w:t>证</w:t>
      </w:r>
      <w:r>
        <w:rPr>
          <w:rFonts w:hint="eastAsia"/>
          <w:color w:val="auto"/>
        </w:rPr>
        <w:t>一致，并注明补办时间。</w:t>
      </w:r>
      <w:r>
        <w:rPr>
          <w:rFonts w:hint="eastAsia"/>
          <w:color w:val="auto"/>
          <w:lang w:eastAsia="zh-CN"/>
        </w:rPr>
        <w:t>其中，</w:t>
      </w:r>
      <w:r>
        <w:rPr>
          <w:rFonts w:hint="eastAsia"/>
          <w:color w:val="auto"/>
        </w:rPr>
        <w:t>2025年7月1日前已颁发勘查许可证、采矿许可证遗失的，</w:t>
      </w:r>
      <w:r>
        <w:rPr>
          <w:rFonts w:hint="eastAsia"/>
          <w:color w:val="auto"/>
          <w:lang w:eastAsia="zh-CN"/>
        </w:rPr>
        <w:t>自然资源主管部门提供电子证照或复印件，不再补办</w:t>
      </w:r>
      <w:r>
        <w:rPr>
          <w:rFonts w:hint="eastAsia"/>
          <w:color w:val="auto"/>
        </w:rPr>
        <w:t>。</w:t>
      </w:r>
    </w:p>
    <w:p w14:paraId="46396D49">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w:t>
      </w:r>
      <w:r>
        <w:rPr>
          <w:rFonts w:hint="eastAsia"/>
          <w:color w:val="auto"/>
          <w:lang w:eastAsia="zh-CN"/>
        </w:rPr>
        <w:t>四十八</w:t>
      </w:r>
      <w:r>
        <w:rPr>
          <w:rFonts w:hint="eastAsia"/>
          <w:color w:val="auto"/>
        </w:rPr>
        <w:t>）【部申请方式】向自然资源部申请勘查许可、采矿许可以及勘查方案、开采方案、矿区生态修复方案评审</w:t>
      </w:r>
      <w:r>
        <w:rPr>
          <w:rFonts w:hint="eastAsia"/>
          <w:color w:val="auto"/>
          <w:lang w:eastAsia="zh-CN"/>
        </w:rPr>
        <w:t>和提交油气</w:t>
      </w:r>
      <w:r>
        <w:rPr>
          <w:rFonts w:hint="eastAsia"/>
          <w:color w:val="auto"/>
        </w:rPr>
        <w:t>探采合一</w:t>
      </w:r>
      <w:r>
        <w:rPr>
          <w:rFonts w:hint="eastAsia"/>
          <w:color w:val="auto"/>
          <w:lang w:eastAsia="zh-CN"/>
        </w:rPr>
        <w:t>报告</w:t>
      </w:r>
      <w:r>
        <w:rPr>
          <w:rFonts w:hint="eastAsia"/>
          <w:color w:val="auto"/>
        </w:rPr>
        <w:t>的，应当通过自然资源部门户网站提交。不适宜通过互联网提交的，应采用线下方式提交申请。</w:t>
      </w:r>
    </w:p>
    <w:p w14:paraId="352FEAF4">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w:t>
      </w:r>
      <w:r>
        <w:rPr>
          <w:rFonts w:hint="eastAsia"/>
          <w:color w:val="auto"/>
          <w:lang w:eastAsia="zh-CN"/>
        </w:rPr>
        <w:t>四十九</w:t>
      </w:r>
      <w:r>
        <w:rPr>
          <w:rFonts w:hint="eastAsia"/>
          <w:color w:val="auto"/>
        </w:rPr>
        <w:t>）【施行时间】本通知自印发之日起施行，有效期5年。《自然资源部关于进一步完善矿产资源勘查开采登记管理的通知》（自然资规〔2023</w:t>
      </w:r>
      <w:r>
        <w:rPr>
          <w:rFonts w:hint="eastAsia" w:ascii="仿宋_GB2312"/>
          <w:color w:val="auto"/>
        </w:rPr>
        <w:t>〕</w:t>
      </w:r>
      <w:r>
        <w:rPr>
          <w:rFonts w:hint="eastAsia"/>
          <w:color w:val="auto"/>
        </w:rPr>
        <w:t>4号）、《自然资源部关于深化矿产资源管理改革若干事项的意见》（自然资规〔2023</w:t>
      </w:r>
      <w:r>
        <w:rPr>
          <w:rFonts w:hint="eastAsia" w:ascii="仿宋_GB2312"/>
          <w:color w:val="auto"/>
        </w:rPr>
        <w:t>〕</w:t>
      </w:r>
      <w:r>
        <w:rPr>
          <w:rFonts w:hint="eastAsia"/>
          <w:color w:val="auto"/>
        </w:rPr>
        <w:t>6号）同时废止。</w:t>
      </w:r>
    </w:p>
    <w:p w14:paraId="1F2B8873">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rFonts w:hint="eastAsia"/>
          <w:color w:val="auto"/>
        </w:rPr>
      </w:pPr>
      <w:r>
        <w:rPr>
          <w:rFonts w:hint="eastAsia"/>
          <w:color w:val="auto"/>
        </w:rPr>
        <w:t>本通知实施前已印发的其他文件与本通知规定不一致的，以本通知为准。</w:t>
      </w:r>
    </w:p>
    <w:p w14:paraId="68547E3B">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p>
    <w:p w14:paraId="70736F51">
      <w:pPr>
        <w:keepNext w:val="0"/>
        <w:keepLines w:val="0"/>
        <w:pageBreakBefore w:val="0"/>
        <w:widowControl w:val="0"/>
        <w:kinsoku/>
        <w:overflowPunct/>
        <w:topLinePunct w:val="0"/>
        <w:autoSpaceDE/>
        <w:autoSpaceDN/>
        <w:bidi w:val="0"/>
        <w:adjustRightInd/>
        <w:snapToGrid/>
        <w:spacing w:line="580" w:lineRule="exact"/>
        <w:ind w:left="0" w:right="0" w:firstLine="640"/>
        <w:textAlignment w:val="auto"/>
        <w:rPr>
          <w:color w:val="auto"/>
        </w:rPr>
      </w:pPr>
    </w:p>
    <w:p w14:paraId="1D648AB6">
      <w:pPr>
        <w:keepNext w:val="0"/>
        <w:keepLines w:val="0"/>
        <w:pageBreakBefore w:val="0"/>
        <w:widowControl w:val="0"/>
        <w:kinsoku/>
        <w:wordWrap w:val="0"/>
        <w:overflowPunct/>
        <w:topLinePunct w:val="0"/>
        <w:autoSpaceDE/>
        <w:autoSpaceDN/>
        <w:bidi w:val="0"/>
        <w:adjustRightInd/>
        <w:snapToGrid/>
        <w:spacing w:line="580" w:lineRule="exact"/>
        <w:ind w:left="0" w:right="0" w:firstLine="640"/>
        <w:jc w:val="right"/>
        <w:textAlignment w:val="auto"/>
        <w:rPr>
          <w:color w:val="auto"/>
        </w:rPr>
      </w:pPr>
      <w:r>
        <w:rPr>
          <w:rFonts w:hint="eastAsia"/>
          <w:color w:val="auto"/>
        </w:rPr>
        <w:t xml:space="preserve">自然资源部 </w:t>
      </w:r>
      <w:r>
        <w:rPr>
          <w:color w:val="auto"/>
        </w:rPr>
        <w:t xml:space="preserve">         </w:t>
      </w:r>
    </w:p>
    <w:p w14:paraId="354851AB">
      <w:pPr>
        <w:keepNext w:val="0"/>
        <w:keepLines w:val="0"/>
        <w:pageBreakBefore w:val="0"/>
        <w:widowControl w:val="0"/>
        <w:kinsoku/>
        <w:wordWrap w:val="0"/>
        <w:overflowPunct/>
        <w:topLinePunct w:val="0"/>
        <w:autoSpaceDE/>
        <w:autoSpaceDN/>
        <w:bidi w:val="0"/>
        <w:adjustRightInd/>
        <w:snapToGrid/>
        <w:spacing w:line="580" w:lineRule="exact"/>
        <w:ind w:left="0" w:right="0" w:firstLine="640" w:firstLineChars="200"/>
        <w:jc w:val="center"/>
        <w:textAlignment w:val="auto"/>
        <w:rPr>
          <w:color w:val="auto"/>
        </w:rPr>
      </w:pPr>
      <w:r>
        <w:rPr>
          <w:rFonts w:hint="eastAsia"/>
          <w:color w:val="auto"/>
          <w:lang w:val="en-US" w:eastAsia="zh-CN"/>
        </w:rPr>
        <w:t xml:space="preserve">                          </w:t>
      </w:r>
      <w:r>
        <w:rPr>
          <w:rFonts w:hint="eastAsia"/>
          <w:color w:val="auto"/>
        </w:rPr>
        <w:t xml:space="preserve">2026年 </w:t>
      </w:r>
      <w:r>
        <w:rPr>
          <w:color w:val="auto"/>
        </w:rPr>
        <w:t xml:space="preserve"> </w:t>
      </w:r>
      <w:r>
        <w:rPr>
          <w:rFonts w:hint="eastAsia"/>
          <w:color w:val="auto"/>
        </w:rPr>
        <w:t xml:space="preserve">月 </w:t>
      </w:r>
      <w:r>
        <w:rPr>
          <w:color w:val="auto"/>
        </w:rPr>
        <w:t xml:space="preserve"> </w:t>
      </w:r>
      <w:r>
        <w:rPr>
          <w:rFonts w:hint="eastAsia"/>
          <w:color w:val="auto"/>
        </w:rPr>
        <w:t xml:space="preserve">日 </w:t>
      </w:r>
      <w:r>
        <w:rPr>
          <w:color w:val="auto"/>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587" w:bottom="1701" w:left="1587" w:header="851" w:footer="992" w:gutter="0"/>
      <w:pgNumType w:fmt="numberInDash"/>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5D5FF">
    <w:pPr>
      <w:pStyle w:val="6"/>
      <w:ind w:firstLine="36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20 -</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92DCA">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225E3">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99EB">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3573F">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7226">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06FF3"/>
    <w:multiLevelType w:val="multilevel"/>
    <w:tmpl w:val="19D06FF3"/>
    <w:lvl w:ilvl="0" w:tentative="0">
      <w:start w:val="1"/>
      <w:numFmt w:val="chineseCountingThousand"/>
      <w:pStyle w:val="3"/>
      <w:lvlText w:val="(%1)"/>
      <w:lvlJc w:val="left"/>
      <w:pPr>
        <w:ind w:left="904" w:hanging="420"/>
      </w:pPr>
    </w:lvl>
    <w:lvl w:ilvl="1" w:tentative="0">
      <w:start w:val="1"/>
      <w:numFmt w:val="lowerLetter"/>
      <w:lvlText w:val="%2)"/>
      <w:lvlJc w:val="left"/>
      <w:pPr>
        <w:ind w:left="1324" w:hanging="420"/>
      </w:pPr>
    </w:lvl>
    <w:lvl w:ilvl="2" w:tentative="0">
      <w:start w:val="1"/>
      <w:numFmt w:val="lowerRoman"/>
      <w:lvlText w:val="%3."/>
      <w:lvlJc w:val="right"/>
      <w:pPr>
        <w:ind w:left="1744" w:hanging="420"/>
      </w:pPr>
    </w:lvl>
    <w:lvl w:ilvl="3" w:tentative="0">
      <w:start w:val="1"/>
      <w:numFmt w:val="decimal"/>
      <w:lvlText w:val="%4."/>
      <w:lvlJc w:val="left"/>
      <w:pPr>
        <w:ind w:left="2164" w:hanging="420"/>
      </w:pPr>
    </w:lvl>
    <w:lvl w:ilvl="4" w:tentative="0">
      <w:start w:val="1"/>
      <w:numFmt w:val="lowerLetter"/>
      <w:lvlText w:val="%5)"/>
      <w:lvlJc w:val="left"/>
      <w:pPr>
        <w:ind w:left="2584" w:hanging="420"/>
      </w:pPr>
    </w:lvl>
    <w:lvl w:ilvl="5" w:tentative="0">
      <w:start w:val="1"/>
      <w:numFmt w:val="lowerRoman"/>
      <w:lvlText w:val="%6."/>
      <w:lvlJc w:val="right"/>
      <w:pPr>
        <w:ind w:left="3004" w:hanging="420"/>
      </w:pPr>
    </w:lvl>
    <w:lvl w:ilvl="6" w:tentative="0">
      <w:start w:val="1"/>
      <w:numFmt w:val="decimal"/>
      <w:lvlText w:val="%7."/>
      <w:lvlJc w:val="left"/>
      <w:pPr>
        <w:ind w:left="3424" w:hanging="420"/>
      </w:pPr>
    </w:lvl>
    <w:lvl w:ilvl="7" w:tentative="0">
      <w:start w:val="1"/>
      <w:numFmt w:val="lowerLetter"/>
      <w:lvlText w:val="%8)"/>
      <w:lvlJc w:val="left"/>
      <w:pPr>
        <w:ind w:left="3844" w:hanging="420"/>
      </w:pPr>
    </w:lvl>
    <w:lvl w:ilvl="8" w:tentative="0">
      <w:start w:val="1"/>
      <w:numFmt w:val="lowerRoman"/>
      <w:lvlText w:val="%9."/>
      <w:lvlJc w:val="right"/>
      <w:pPr>
        <w:ind w:left="4264" w:hanging="420"/>
      </w:pPr>
    </w:lvl>
  </w:abstractNum>
  <w:abstractNum w:abstractNumId="1">
    <w:nsid w:val="5C44662A"/>
    <w:multiLevelType w:val="multilevel"/>
    <w:tmpl w:val="5C44662A"/>
    <w:lvl w:ilvl="0" w:tentative="0">
      <w:start w:val="1"/>
      <w:numFmt w:val="chineseCountingThousand"/>
      <w:pStyle w:val="2"/>
      <w:lvlText w:val="%1、"/>
      <w:lvlJc w:val="left"/>
      <w:pPr>
        <w:ind w:left="497" w:hanging="420"/>
      </w:pPr>
      <w:rPr>
        <w:rFonts w:hint="eastAsia"/>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60"/>
  <w:drawingGridVerticalSpacing w:val="43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6A4"/>
    <w:rsid w:val="00017FFE"/>
    <w:rsid w:val="00023112"/>
    <w:rsid w:val="000336D8"/>
    <w:rsid w:val="000358F7"/>
    <w:rsid w:val="00060E30"/>
    <w:rsid w:val="00081F8E"/>
    <w:rsid w:val="00097582"/>
    <w:rsid w:val="000B77BF"/>
    <w:rsid w:val="000C7AE0"/>
    <w:rsid w:val="000D38D9"/>
    <w:rsid w:val="000D66A4"/>
    <w:rsid w:val="000E2CEC"/>
    <w:rsid w:val="000F0229"/>
    <w:rsid w:val="000F1127"/>
    <w:rsid w:val="000F677F"/>
    <w:rsid w:val="001048FA"/>
    <w:rsid w:val="0011152F"/>
    <w:rsid w:val="001118CF"/>
    <w:rsid w:val="00135B99"/>
    <w:rsid w:val="00136CC8"/>
    <w:rsid w:val="00147231"/>
    <w:rsid w:val="001524CE"/>
    <w:rsid w:val="00153EC0"/>
    <w:rsid w:val="00172485"/>
    <w:rsid w:val="00175497"/>
    <w:rsid w:val="001A2FA2"/>
    <w:rsid w:val="001A3F94"/>
    <w:rsid w:val="001B117B"/>
    <w:rsid w:val="001C2333"/>
    <w:rsid w:val="001C420A"/>
    <w:rsid w:val="001D53C6"/>
    <w:rsid w:val="001D5DA6"/>
    <w:rsid w:val="001E1CA1"/>
    <w:rsid w:val="001E5850"/>
    <w:rsid w:val="001F021F"/>
    <w:rsid w:val="001F693C"/>
    <w:rsid w:val="00206886"/>
    <w:rsid w:val="00230602"/>
    <w:rsid w:val="00230C51"/>
    <w:rsid w:val="00233C5C"/>
    <w:rsid w:val="0024762C"/>
    <w:rsid w:val="0026455C"/>
    <w:rsid w:val="00277B09"/>
    <w:rsid w:val="00282224"/>
    <w:rsid w:val="002B37F4"/>
    <w:rsid w:val="002B3DC6"/>
    <w:rsid w:val="002B4E2B"/>
    <w:rsid w:val="002B791D"/>
    <w:rsid w:val="00300A90"/>
    <w:rsid w:val="00301A18"/>
    <w:rsid w:val="003045EA"/>
    <w:rsid w:val="0031158B"/>
    <w:rsid w:val="00317B62"/>
    <w:rsid w:val="00320C10"/>
    <w:rsid w:val="00333B9B"/>
    <w:rsid w:val="003400E7"/>
    <w:rsid w:val="00367D73"/>
    <w:rsid w:val="003706EB"/>
    <w:rsid w:val="003A4DF1"/>
    <w:rsid w:val="003C0425"/>
    <w:rsid w:val="003C0727"/>
    <w:rsid w:val="003C40BF"/>
    <w:rsid w:val="003D2B11"/>
    <w:rsid w:val="003D3764"/>
    <w:rsid w:val="003D41AC"/>
    <w:rsid w:val="003D6D9B"/>
    <w:rsid w:val="003E0A80"/>
    <w:rsid w:val="003E71AE"/>
    <w:rsid w:val="003E72E1"/>
    <w:rsid w:val="003F35E3"/>
    <w:rsid w:val="003F72E3"/>
    <w:rsid w:val="00422BCB"/>
    <w:rsid w:val="00423FE4"/>
    <w:rsid w:val="00447C63"/>
    <w:rsid w:val="00463D01"/>
    <w:rsid w:val="00474EC9"/>
    <w:rsid w:val="004839F2"/>
    <w:rsid w:val="00493FAD"/>
    <w:rsid w:val="004C422D"/>
    <w:rsid w:val="004D6A5B"/>
    <w:rsid w:val="004D77D9"/>
    <w:rsid w:val="004E251F"/>
    <w:rsid w:val="004F61CB"/>
    <w:rsid w:val="00535167"/>
    <w:rsid w:val="00551567"/>
    <w:rsid w:val="00552E48"/>
    <w:rsid w:val="00555944"/>
    <w:rsid w:val="00555BA4"/>
    <w:rsid w:val="0055612A"/>
    <w:rsid w:val="005607D0"/>
    <w:rsid w:val="00570065"/>
    <w:rsid w:val="0058535C"/>
    <w:rsid w:val="005A6D4D"/>
    <w:rsid w:val="005B463C"/>
    <w:rsid w:val="005B6759"/>
    <w:rsid w:val="005C16C5"/>
    <w:rsid w:val="005C19C6"/>
    <w:rsid w:val="005C694A"/>
    <w:rsid w:val="005D01C9"/>
    <w:rsid w:val="005D2F11"/>
    <w:rsid w:val="005E4532"/>
    <w:rsid w:val="005E6E84"/>
    <w:rsid w:val="00602828"/>
    <w:rsid w:val="00625EF0"/>
    <w:rsid w:val="00645477"/>
    <w:rsid w:val="00667BF4"/>
    <w:rsid w:val="006701FF"/>
    <w:rsid w:val="00677605"/>
    <w:rsid w:val="006B62A9"/>
    <w:rsid w:val="006B7073"/>
    <w:rsid w:val="006F09E9"/>
    <w:rsid w:val="006F4445"/>
    <w:rsid w:val="00707E33"/>
    <w:rsid w:val="00712245"/>
    <w:rsid w:val="00731153"/>
    <w:rsid w:val="00736C6B"/>
    <w:rsid w:val="00740FFB"/>
    <w:rsid w:val="00741865"/>
    <w:rsid w:val="00747E74"/>
    <w:rsid w:val="00754964"/>
    <w:rsid w:val="0077586E"/>
    <w:rsid w:val="0077669E"/>
    <w:rsid w:val="0079439D"/>
    <w:rsid w:val="007A1679"/>
    <w:rsid w:val="007A531E"/>
    <w:rsid w:val="007B0E49"/>
    <w:rsid w:val="007B2DCB"/>
    <w:rsid w:val="007C5292"/>
    <w:rsid w:val="007D3927"/>
    <w:rsid w:val="007D651A"/>
    <w:rsid w:val="007E01A0"/>
    <w:rsid w:val="007E18C2"/>
    <w:rsid w:val="007E664A"/>
    <w:rsid w:val="00810000"/>
    <w:rsid w:val="00810E3D"/>
    <w:rsid w:val="008250F2"/>
    <w:rsid w:val="00837FD0"/>
    <w:rsid w:val="008650B9"/>
    <w:rsid w:val="00884408"/>
    <w:rsid w:val="008950EC"/>
    <w:rsid w:val="008956DB"/>
    <w:rsid w:val="008D3D41"/>
    <w:rsid w:val="00920032"/>
    <w:rsid w:val="00923933"/>
    <w:rsid w:val="009324EB"/>
    <w:rsid w:val="0094089B"/>
    <w:rsid w:val="009445AD"/>
    <w:rsid w:val="009534D5"/>
    <w:rsid w:val="009671D8"/>
    <w:rsid w:val="00973ED6"/>
    <w:rsid w:val="00974564"/>
    <w:rsid w:val="0098580C"/>
    <w:rsid w:val="00995CE5"/>
    <w:rsid w:val="009A2BB9"/>
    <w:rsid w:val="009B2238"/>
    <w:rsid w:val="009B705D"/>
    <w:rsid w:val="009C0E39"/>
    <w:rsid w:val="009F2DD5"/>
    <w:rsid w:val="009F4AE0"/>
    <w:rsid w:val="00A260A9"/>
    <w:rsid w:val="00A36D01"/>
    <w:rsid w:val="00A4755C"/>
    <w:rsid w:val="00A614A9"/>
    <w:rsid w:val="00A71BAE"/>
    <w:rsid w:val="00A92008"/>
    <w:rsid w:val="00A9593A"/>
    <w:rsid w:val="00A968A6"/>
    <w:rsid w:val="00AA0824"/>
    <w:rsid w:val="00AA2505"/>
    <w:rsid w:val="00AB78C3"/>
    <w:rsid w:val="00AC15C4"/>
    <w:rsid w:val="00AD72BA"/>
    <w:rsid w:val="00AF4EDF"/>
    <w:rsid w:val="00AF7E17"/>
    <w:rsid w:val="00B1145F"/>
    <w:rsid w:val="00B14E85"/>
    <w:rsid w:val="00B22130"/>
    <w:rsid w:val="00B2385B"/>
    <w:rsid w:val="00B4546B"/>
    <w:rsid w:val="00BA4A9F"/>
    <w:rsid w:val="00BB0024"/>
    <w:rsid w:val="00BB7208"/>
    <w:rsid w:val="00BC00FB"/>
    <w:rsid w:val="00BE5C5A"/>
    <w:rsid w:val="00BE78A7"/>
    <w:rsid w:val="00BF2E1F"/>
    <w:rsid w:val="00BF40B9"/>
    <w:rsid w:val="00C1268D"/>
    <w:rsid w:val="00C13045"/>
    <w:rsid w:val="00C56643"/>
    <w:rsid w:val="00C56EDD"/>
    <w:rsid w:val="00C62854"/>
    <w:rsid w:val="00C62C4E"/>
    <w:rsid w:val="00C77107"/>
    <w:rsid w:val="00CA1707"/>
    <w:rsid w:val="00CB46CF"/>
    <w:rsid w:val="00CB5456"/>
    <w:rsid w:val="00CC1FFF"/>
    <w:rsid w:val="00CD3EB5"/>
    <w:rsid w:val="00D001C6"/>
    <w:rsid w:val="00D01EB2"/>
    <w:rsid w:val="00D024AA"/>
    <w:rsid w:val="00D11E30"/>
    <w:rsid w:val="00D267DF"/>
    <w:rsid w:val="00D52C17"/>
    <w:rsid w:val="00D6322F"/>
    <w:rsid w:val="00D647D4"/>
    <w:rsid w:val="00D710CA"/>
    <w:rsid w:val="00D81E9C"/>
    <w:rsid w:val="00DF0AFF"/>
    <w:rsid w:val="00E00B69"/>
    <w:rsid w:val="00E02356"/>
    <w:rsid w:val="00E10624"/>
    <w:rsid w:val="00E1325C"/>
    <w:rsid w:val="00E24F81"/>
    <w:rsid w:val="00E34A33"/>
    <w:rsid w:val="00E41E85"/>
    <w:rsid w:val="00E55927"/>
    <w:rsid w:val="00E65592"/>
    <w:rsid w:val="00E84083"/>
    <w:rsid w:val="00E87054"/>
    <w:rsid w:val="00E92A5A"/>
    <w:rsid w:val="00E9588E"/>
    <w:rsid w:val="00EA2E94"/>
    <w:rsid w:val="00EA5786"/>
    <w:rsid w:val="00EA6B35"/>
    <w:rsid w:val="00ED1E8D"/>
    <w:rsid w:val="00ED7806"/>
    <w:rsid w:val="00F0321F"/>
    <w:rsid w:val="00F0716D"/>
    <w:rsid w:val="00F10546"/>
    <w:rsid w:val="00F212C5"/>
    <w:rsid w:val="00F4417E"/>
    <w:rsid w:val="00F631A7"/>
    <w:rsid w:val="00F6466D"/>
    <w:rsid w:val="00F66840"/>
    <w:rsid w:val="00F73BB1"/>
    <w:rsid w:val="00F82F14"/>
    <w:rsid w:val="00F84F91"/>
    <w:rsid w:val="00F86BC7"/>
    <w:rsid w:val="00F90D72"/>
    <w:rsid w:val="00FA4349"/>
    <w:rsid w:val="00FC75E1"/>
    <w:rsid w:val="00FE077F"/>
    <w:rsid w:val="0DDB0272"/>
    <w:rsid w:val="0FA45DCC"/>
    <w:rsid w:val="176F56C8"/>
    <w:rsid w:val="19B644AD"/>
    <w:rsid w:val="1AFDA1B4"/>
    <w:rsid w:val="1FDB2F2E"/>
    <w:rsid w:val="1FE74088"/>
    <w:rsid w:val="28842606"/>
    <w:rsid w:val="2A2F33A6"/>
    <w:rsid w:val="2BFF436A"/>
    <w:rsid w:val="2CFF3A15"/>
    <w:rsid w:val="2FFF184E"/>
    <w:rsid w:val="31BB6926"/>
    <w:rsid w:val="326D41CB"/>
    <w:rsid w:val="34E7F043"/>
    <w:rsid w:val="3747AB0F"/>
    <w:rsid w:val="37FA786D"/>
    <w:rsid w:val="37FA8F59"/>
    <w:rsid w:val="37FB031C"/>
    <w:rsid w:val="381B569C"/>
    <w:rsid w:val="3BDD72E9"/>
    <w:rsid w:val="3BFCBF13"/>
    <w:rsid w:val="3CC06339"/>
    <w:rsid w:val="3CF7E359"/>
    <w:rsid w:val="3D7DFF8D"/>
    <w:rsid w:val="3F3FACA5"/>
    <w:rsid w:val="3F76736B"/>
    <w:rsid w:val="3FFFAA31"/>
    <w:rsid w:val="435D1690"/>
    <w:rsid w:val="46FEA0B4"/>
    <w:rsid w:val="47FFBCF4"/>
    <w:rsid w:val="53FF00DB"/>
    <w:rsid w:val="55FACA1A"/>
    <w:rsid w:val="566B6380"/>
    <w:rsid w:val="575F2485"/>
    <w:rsid w:val="57DF4CAE"/>
    <w:rsid w:val="598511EB"/>
    <w:rsid w:val="5A9E810F"/>
    <w:rsid w:val="5B076365"/>
    <w:rsid w:val="5B76E511"/>
    <w:rsid w:val="5BCF422D"/>
    <w:rsid w:val="5BDF6F90"/>
    <w:rsid w:val="5D673E3B"/>
    <w:rsid w:val="5DE7AC47"/>
    <w:rsid w:val="5DFF8DE6"/>
    <w:rsid w:val="5E6B9834"/>
    <w:rsid w:val="5EBD49B6"/>
    <w:rsid w:val="5EDEFC01"/>
    <w:rsid w:val="5EFB2C91"/>
    <w:rsid w:val="5EFE32DC"/>
    <w:rsid w:val="5F3BE9A5"/>
    <w:rsid w:val="5F7F7A99"/>
    <w:rsid w:val="5F9B4B01"/>
    <w:rsid w:val="5FA9FB4A"/>
    <w:rsid w:val="5FBD6018"/>
    <w:rsid w:val="5FC524AC"/>
    <w:rsid w:val="5FD780F9"/>
    <w:rsid w:val="5FF7C6C1"/>
    <w:rsid w:val="5FF91D35"/>
    <w:rsid w:val="5FFDD65C"/>
    <w:rsid w:val="5FFFFBEC"/>
    <w:rsid w:val="63FFB33A"/>
    <w:rsid w:val="655B17D7"/>
    <w:rsid w:val="65DFEBF4"/>
    <w:rsid w:val="671343AC"/>
    <w:rsid w:val="67A668A3"/>
    <w:rsid w:val="6ABF1533"/>
    <w:rsid w:val="6BBF5C0B"/>
    <w:rsid w:val="6CFED3F0"/>
    <w:rsid w:val="6D5DE58E"/>
    <w:rsid w:val="6DFFC616"/>
    <w:rsid w:val="6FBF94A4"/>
    <w:rsid w:val="6FC75D10"/>
    <w:rsid w:val="6FF37FB8"/>
    <w:rsid w:val="6FF70F22"/>
    <w:rsid w:val="6FFA82E9"/>
    <w:rsid w:val="6FFD0AD6"/>
    <w:rsid w:val="75D12662"/>
    <w:rsid w:val="76CE111D"/>
    <w:rsid w:val="76ED7782"/>
    <w:rsid w:val="76F6867B"/>
    <w:rsid w:val="7773A66D"/>
    <w:rsid w:val="778FCB57"/>
    <w:rsid w:val="779DCC88"/>
    <w:rsid w:val="77F13471"/>
    <w:rsid w:val="77F71523"/>
    <w:rsid w:val="77F7684C"/>
    <w:rsid w:val="792719D3"/>
    <w:rsid w:val="7ABE9CC6"/>
    <w:rsid w:val="7B7518A5"/>
    <w:rsid w:val="7BD9D801"/>
    <w:rsid w:val="7BEED647"/>
    <w:rsid w:val="7BFE1A9F"/>
    <w:rsid w:val="7CDE86BB"/>
    <w:rsid w:val="7D5F46C3"/>
    <w:rsid w:val="7D9F532E"/>
    <w:rsid w:val="7DB99AD2"/>
    <w:rsid w:val="7DD9DB68"/>
    <w:rsid w:val="7DFEDFDD"/>
    <w:rsid w:val="7EADA3FE"/>
    <w:rsid w:val="7EBD39B8"/>
    <w:rsid w:val="7EDDDDE0"/>
    <w:rsid w:val="7EF2307B"/>
    <w:rsid w:val="7EFD20CA"/>
    <w:rsid w:val="7EFFAD4B"/>
    <w:rsid w:val="7F1FAAD4"/>
    <w:rsid w:val="7F3866A6"/>
    <w:rsid w:val="7F4F3924"/>
    <w:rsid w:val="7F5E8B45"/>
    <w:rsid w:val="7F67B6ED"/>
    <w:rsid w:val="7F7E0A9B"/>
    <w:rsid w:val="7F7F78A8"/>
    <w:rsid w:val="7F97173D"/>
    <w:rsid w:val="7F9FACC0"/>
    <w:rsid w:val="7FAF9223"/>
    <w:rsid w:val="7FB76781"/>
    <w:rsid w:val="7FBBDC7A"/>
    <w:rsid w:val="7FDFB3AF"/>
    <w:rsid w:val="7FE75AFE"/>
    <w:rsid w:val="7FE7FEF5"/>
    <w:rsid w:val="7FEF5FE3"/>
    <w:rsid w:val="7FFCA168"/>
    <w:rsid w:val="7FFD3F6D"/>
    <w:rsid w:val="7FFD5B10"/>
    <w:rsid w:val="8637A7A9"/>
    <w:rsid w:val="8CDFA253"/>
    <w:rsid w:val="96BF9E44"/>
    <w:rsid w:val="977F18A3"/>
    <w:rsid w:val="9AFDC8BE"/>
    <w:rsid w:val="9DB3E9B5"/>
    <w:rsid w:val="9F7740DF"/>
    <w:rsid w:val="9FBF32A8"/>
    <w:rsid w:val="9FDB11E9"/>
    <w:rsid w:val="9FFC1ED2"/>
    <w:rsid w:val="A7BE6848"/>
    <w:rsid w:val="A7E9D0EF"/>
    <w:rsid w:val="A7FF0ED9"/>
    <w:rsid w:val="AB6EA043"/>
    <w:rsid w:val="ADABCF36"/>
    <w:rsid w:val="AEF3EF96"/>
    <w:rsid w:val="AEFEC0BC"/>
    <w:rsid w:val="AFFF1040"/>
    <w:rsid w:val="AFFFB785"/>
    <w:rsid w:val="B16F54D1"/>
    <w:rsid w:val="B7E86D03"/>
    <w:rsid w:val="B7F9A824"/>
    <w:rsid w:val="B7FF0A63"/>
    <w:rsid w:val="B87F4442"/>
    <w:rsid w:val="B9FF40A1"/>
    <w:rsid w:val="BA7B23C6"/>
    <w:rsid w:val="BBE87A4D"/>
    <w:rsid w:val="BEDDFF2F"/>
    <w:rsid w:val="BFBE1D2B"/>
    <w:rsid w:val="BFBF43C4"/>
    <w:rsid w:val="BFFF6961"/>
    <w:rsid w:val="BFFF8194"/>
    <w:rsid w:val="BFFFBB0C"/>
    <w:rsid w:val="C45DA7CD"/>
    <w:rsid w:val="CBEBC875"/>
    <w:rsid w:val="CD7D2F68"/>
    <w:rsid w:val="D1FB01A8"/>
    <w:rsid w:val="D5DECA95"/>
    <w:rsid w:val="D6CBFD58"/>
    <w:rsid w:val="D6D7F6CE"/>
    <w:rsid w:val="D6FB22F3"/>
    <w:rsid w:val="D7D61F7D"/>
    <w:rsid w:val="D7F6D329"/>
    <w:rsid w:val="DD6F57EA"/>
    <w:rsid w:val="DD792BDA"/>
    <w:rsid w:val="DDDFABF8"/>
    <w:rsid w:val="DED2AB1E"/>
    <w:rsid w:val="DF13CD16"/>
    <w:rsid w:val="DF6B1EEC"/>
    <w:rsid w:val="DF7FB8A8"/>
    <w:rsid w:val="DFA9C416"/>
    <w:rsid w:val="DFCF6A0D"/>
    <w:rsid w:val="DFD5FEB4"/>
    <w:rsid w:val="E1F7AEC3"/>
    <w:rsid w:val="E27BAF66"/>
    <w:rsid w:val="E5FD66F6"/>
    <w:rsid w:val="E6FF1FA2"/>
    <w:rsid w:val="E95FF1D1"/>
    <w:rsid w:val="EBB74ED3"/>
    <w:rsid w:val="EBF76047"/>
    <w:rsid w:val="EBFF8681"/>
    <w:rsid w:val="EC7B5066"/>
    <w:rsid w:val="ED716297"/>
    <w:rsid w:val="ED7DDFB2"/>
    <w:rsid w:val="EDEAB828"/>
    <w:rsid w:val="EDFE141E"/>
    <w:rsid w:val="EEC35774"/>
    <w:rsid w:val="EEDF638A"/>
    <w:rsid w:val="EEFB67BD"/>
    <w:rsid w:val="EFBE9981"/>
    <w:rsid w:val="EFF2B6A8"/>
    <w:rsid w:val="EFF3C82D"/>
    <w:rsid w:val="EFFF7310"/>
    <w:rsid w:val="F07B37C4"/>
    <w:rsid w:val="F2FDEDCF"/>
    <w:rsid w:val="F3AF778E"/>
    <w:rsid w:val="F3F26C1B"/>
    <w:rsid w:val="F5572D53"/>
    <w:rsid w:val="F586564A"/>
    <w:rsid w:val="F61E46C3"/>
    <w:rsid w:val="F6FD04AC"/>
    <w:rsid w:val="F7EF4A65"/>
    <w:rsid w:val="F7F5E440"/>
    <w:rsid w:val="F7FD0612"/>
    <w:rsid w:val="F7FF49FA"/>
    <w:rsid w:val="F85F9269"/>
    <w:rsid w:val="F8B37730"/>
    <w:rsid w:val="F8BE0676"/>
    <w:rsid w:val="F8EFA76E"/>
    <w:rsid w:val="F97D6D56"/>
    <w:rsid w:val="FAC7AEAA"/>
    <w:rsid w:val="FAE705E5"/>
    <w:rsid w:val="FB5FDA7A"/>
    <w:rsid w:val="FB7BC14B"/>
    <w:rsid w:val="FB7E9AAA"/>
    <w:rsid w:val="FBCE5197"/>
    <w:rsid w:val="FBF6794E"/>
    <w:rsid w:val="FCD3D39C"/>
    <w:rsid w:val="FCFDA5E4"/>
    <w:rsid w:val="FD3F1357"/>
    <w:rsid w:val="FD576153"/>
    <w:rsid w:val="FD6D6A49"/>
    <w:rsid w:val="FD7BF64D"/>
    <w:rsid w:val="FDAFC3B5"/>
    <w:rsid w:val="FDBE4B64"/>
    <w:rsid w:val="FDBEA42F"/>
    <w:rsid w:val="FDDC1026"/>
    <w:rsid w:val="FDEDCC39"/>
    <w:rsid w:val="FEBB3E38"/>
    <w:rsid w:val="FEBF78F6"/>
    <w:rsid w:val="FEDE6485"/>
    <w:rsid w:val="FEDEF2F0"/>
    <w:rsid w:val="FF1C3834"/>
    <w:rsid w:val="FF6D270C"/>
    <w:rsid w:val="FFB9F29E"/>
    <w:rsid w:val="FFBB2563"/>
    <w:rsid w:val="FFBB6297"/>
    <w:rsid w:val="FFBDF136"/>
    <w:rsid w:val="FFDF4F29"/>
    <w:rsid w:val="FFE930D3"/>
    <w:rsid w:val="FFF1691C"/>
    <w:rsid w:val="FFF5AE92"/>
    <w:rsid w:val="FFF67439"/>
    <w:rsid w:val="FFF70ABB"/>
    <w:rsid w:val="FFFC72FD"/>
    <w:rsid w:val="FFFF69B2"/>
    <w:rsid w:val="FFFF8EC2"/>
    <w:rsid w:val="FFFFA6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11"/>
    <w:qFormat/>
    <w:uiPriority w:val="9"/>
    <w:pPr>
      <w:keepNext/>
      <w:keepLines/>
      <w:numPr>
        <w:ilvl w:val="0"/>
        <w:numId w:val="1"/>
      </w:numPr>
      <w:spacing w:before="120" w:after="120"/>
      <w:ind w:left="0" w:firstLine="0" w:firstLineChars="0"/>
      <w:jc w:val="left"/>
      <w:outlineLvl w:val="0"/>
    </w:pPr>
    <w:rPr>
      <w:rFonts w:eastAsia="黑体"/>
      <w:bCs/>
      <w:kern w:val="44"/>
      <w:szCs w:val="44"/>
    </w:rPr>
  </w:style>
  <w:style w:type="paragraph" w:styleId="3">
    <w:name w:val="heading 2"/>
    <w:basedOn w:val="1"/>
    <w:next w:val="1"/>
    <w:link w:val="12"/>
    <w:unhideWhenUsed/>
    <w:qFormat/>
    <w:uiPriority w:val="9"/>
    <w:pPr>
      <w:keepNext/>
      <w:keepLines/>
      <w:numPr>
        <w:ilvl w:val="0"/>
        <w:numId w:val="2"/>
      </w:numPr>
      <w:ind w:left="198" w:firstLine="200"/>
      <w:jc w:val="left"/>
      <w:outlineLvl w:val="1"/>
    </w:pPr>
    <w:rPr>
      <w:rFonts w:ascii="等线 Light" w:hAnsi="等线 Light" w:eastAsia="楷体_GB2312" w:cs="Times New Roman"/>
      <w:b/>
      <w:bCs/>
      <w:szCs w:val="32"/>
    </w:rPr>
  </w:style>
  <w:style w:type="character" w:default="1" w:styleId="10">
    <w:name w:val="Default Paragraph Font"/>
    <w:unhideWhenUsed/>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ascii="等线" w:hAnsi="等线" w:eastAsia="等线" w:cs="等线"/>
      <w:kern w:val="2"/>
      <w:sz w:val="21"/>
      <w:szCs w:val="22"/>
    </w:rPr>
    <w:tblPr>
      <w:tblStyle w:val="9"/>
      <w:tblCellMar>
        <w:top w:w="0" w:type="dxa"/>
        <w:left w:w="108" w:type="dxa"/>
        <w:bottom w:w="0" w:type="dxa"/>
        <w:right w:w="108" w:type="dxa"/>
      </w:tblCellMar>
    </w:tblPr>
  </w:style>
  <w:style w:type="paragraph" w:styleId="4">
    <w:name w:val="annotation text"/>
    <w:basedOn w:val="1"/>
    <w:unhideWhenUsed/>
    <w:uiPriority w:val="99"/>
    <w:pPr>
      <w:jc w:val="left"/>
    </w:pPr>
  </w:style>
  <w:style w:type="paragraph" w:styleId="5">
    <w:name w:val="Balloon Text"/>
    <w:basedOn w:val="1"/>
    <w:link w:val="13"/>
    <w:unhideWhenUsed/>
    <w:uiPriority w:val="99"/>
    <w:pPr>
      <w:spacing w:line="240" w:lineRule="auto"/>
    </w:pPr>
    <w:rPr>
      <w:sz w:val="18"/>
      <w:szCs w:val="18"/>
    </w:rPr>
  </w:style>
  <w:style w:type="paragraph" w:styleId="6">
    <w:name w:val="footer"/>
    <w:basedOn w:val="1"/>
    <w:link w:val="14"/>
    <w:unhideWhenUsed/>
    <w:uiPriority w:val="99"/>
    <w:pPr>
      <w:tabs>
        <w:tab w:val="center" w:pos="4153"/>
        <w:tab w:val="right" w:pos="8306"/>
      </w:tabs>
      <w:snapToGrid w:val="0"/>
      <w:spacing w:line="240" w:lineRule="auto"/>
      <w:jc w:val="left"/>
    </w:pPr>
    <w:rPr>
      <w:sz w:val="18"/>
      <w:szCs w:val="18"/>
    </w:rPr>
  </w:style>
  <w:style w:type="paragraph" w:styleId="7">
    <w:name w:val="header"/>
    <w:basedOn w:val="1"/>
    <w:link w:val="15"/>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6"/>
    <w:qFormat/>
    <w:uiPriority w:val="10"/>
    <w:pPr>
      <w:spacing w:before="240" w:after="60"/>
      <w:ind w:firstLine="0" w:firstLineChars="0"/>
      <w:jc w:val="center"/>
      <w:outlineLvl w:val="0"/>
    </w:pPr>
    <w:rPr>
      <w:rFonts w:ascii="等线 Light" w:hAnsi="等线 Light" w:eastAsia="方正小标宋简体" w:cs="Times New Roman"/>
      <w:b/>
      <w:bCs/>
      <w:sz w:val="44"/>
      <w:szCs w:val="32"/>
    </w:rPr>
  </w:style>
  <w:style w:type="character" w:customStyle="1" w:styleId="11">
    <w:name w:val="标题 1 字符"/>
    <w:basedOn w:val="10"/>
    <w:link w:val="2"/>
    <w:qFormat/>
    <w:uiPriority w:val="9"/>
    <w:rPr>
      <w:rFonts w:ascii="Times New Roman" w:hAnsi="Times New Roman" w:eastAsia="黑体"/>
      <w:bCs/>
      <w:kern w:val="44"/>
      <w:sz w:val="32"/>
      <w:szCs w:val="44"/>
    </w:rPr>
  </w:style>
  <w:style w:type="character" w:customStyle="1" w:styleId="12">
    <w:name w:val="标题 2 字符"/>
    <w:basedOn w:val="10"/>
    <w:link w:val="3"/>
    <w:uiPriority w:val="9"/>
    <w:rPr>
      <w:rFonts w:ascii="等线 Light" w:hAnsi="等线 Light" w:eastAsia="楷体_GB2312" w:cs="Times New Roman"/>
      <w:b/>
      <w:bCs/>
      <w:sz w:val="32"/>
      <w:szCs w:val="32"/>
    </w:rPr>
  </w:style>
  <w:style w:type="character" w:customStyle="1" w:styleId="13">
    <w:name w:val="批注框文本 字符"/>
    <w:basedOn w:val="10"/>
    <w:link w:val="5"/>
    <w:semiHidden/>
    <w:qFormat/>
    <w:uiPriority w:val="99"/>
    <w:rPr>
      <w:rFonts w:ascii="Times New Roman" w:hAnsi="Times New Roman" w:eastAsia="仿宋_GB2312"/>
      <w:sz w:val="18"/>
      <w:szCs w:val="18"/>
    </w:rPr>
  </w:style>
  <w:style w:type="character" w:customStyle="1" w:styleId="14">
    <w:name w:val="页脚 字符"/>
    <w:basedOn w:val="10"/>
    <w:link w:val="6"/>
    <w:qFormat/>
    <w:uiPriority w:val="99"/>
    <w:rPr>
      <w:rFonts w:ascii="Times New Roman" w:hAnsi="Times New Roman" w:eastAsia="仿宋_GB2312"/>
      <w:sz w:val="18"/>
      <w:szCs w:val="18"/>
    </w:rPr>
  </w:style>
  <w:style w:type="character" w:customStyle="1" w:styleId="15">
    <w:name w:val="页眉 字符"/>
    <w:basedOn w:val="10"/>
    <w:link w:val="7"/>
    <w:uiPriority w:val="99"/>
    <w:rPr>
      <w:rFonts w:ascii="Times New Roman" w:hAnsi="Times New Roman" w:eastAsia="仿宋_GB2312"/>
      <w:sz w:val="18"/>
      <w:szCs w:val="18"/>
    </w:rPr>
  </w:style>
  <w:style w:type="character" w:customStyle="1" w:styleId="16">
    <w:name w:val="标题 字符"/>
    <w:basedOn w:val="10"/>
    <w:link w:val="8"/>
    <w:qFormat/>
    <w:uiPriority w:val="10"/>
    <w:rPr>
      <w:rFonts w:ascii="等线 Light" w:hAnsi="等线 Light" w:eastAsia="方正小标宋简体" w:cs="Times New Roman"/>
      <w:b/>
      <w:bCs/>
      <w:sz w:val="44"/>
      <w:szCs w:val="32"/>
    </w:rPr>
  </w:style>
  <w:style w:type="character" w:customStyle="1" w:styleId="17">
    <w:name w:val="引用 字符"/>
    <w:basedOn w:val="10"/>
    <w:link w:val="18"/>
    <w:uiPriority w:val="29"/>
    <w:rPr>
      <w:rFonts w:ascii="Times New Roman" w:hAnsi="Times New Roman" w:eastAsia="仿宋_GB2312"/>
      <w:i/>
      <w:iCs/>
      <w:color w:val="3F3F3F"/>
      <w:sz w:val="18"/>
    </w:rPr>
  </w:style>
  <w:style w:type="paragraph" w:styleId="18">
    <w:name w:val="Quote"/>
    <w:basedOn w:val="1"/>
    <w:next w:val="1"/>
    <w:link w:val="17"/>
    <w:qFormat/>
    <w:uiPriority w:val="29"/>
    <w:pPr>
      <w:spacing w:before="200" w:after="160"/>
      <w:ind w:left="864" w:right="864"/>
      <w:jc w:val="right"/>
    </w:pPr>
    <w:rPr>
      <w:i/>
      <w:iCs/>
      <w:color w:val="3F3F3F"/>
      <w:sz w:val="18"/>
    </w:rPr>
  </w:style>
  <w:style w:type="paragraph" w:customStyle="1" w:styleId="19">
    <w:name w:val="Revision"/>
    <w:semiHidden/>
    <w:qFormat/>
    <w:uiPriority w:val="99"/>
    <w:rPr>
      <w:rFonts w:ascii="Times New Roman" w:hAnsi="Times New Roman" w:eastAsia="仿宋_GB2312" w:cs="Times New Roman"/>
      <w:kern w:val="2"/>
      <w:sz w:val="32"/>
      <w:szCs w:val="22"/>
      <w:lang w:val="en-US" w:eastAsia="zh-CN" w:bidi="ar-SA"/>
    </w:rPr>
  </w:style>
  <w:style w:type="paragraph" w:styleId="2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8525</Words>
  <Characters>8578</Characters>
  <Lines>80</Lines>
  <Paragraphs>22</Paragraphs>
  <TotalTime>75.3333333333333</TotalTime>
  <ScaleCrop>false</ScaleCrop>
  <LinksUpToDate>false</LinksUpToDate>
  <CharactersWithSpaces>8623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2026-06-23T09:48:00Z</dcterms:created>
  <dc:creator>www</dc:creator>
  <cp:lastModifiedBy>标准化说明</cp:lastModifiedBy>
  <cp:lastPrinted>2026-08-21T16:06:58Z</cp:lastPrinted>
  <dcterms:modified xsi:type="dcterms:W3CDTF">2026-08-25T02:10:39Z</dcterms:modified>
  <dc:title>材料1                               内部资料，妥善保存</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362AD1A2B23946A0942C5D71782101A2_13</vt:lpwstr>
  </property>
  <property fmtid="{D5CDD505-2E9C-101B-9397-08002B2CF9AE}" pid="4" name="KSOTemplateDocerSaveRecord">
    <vt:lpwstr>eyJoZGlkIjoiYTRkMGM3MThiZDg1YWRkMWI3ZjEzZGY2OWMyMzViZjgiLCJ1c2VySWQiOiI5NTU3MjQyOTEifQ==</vt:lpwstr>
  </property>
</Properties>
</file>